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2F11" w14:textId="77777777" w:rsidR="003A0F35" w:rsidRPr="000B2728" w:rsidRDefault="00933816">
      <w:pPr>
        <w:pStyle w:val="BlockText"/>
        <w:ind w:left="0" w:right="720"/>
        <w:rPr>
          <w:b/>
          <w:bCs/>
          <w:szCs w:val="24"/>
        </w:rPr>
      </w:pPr>
      <w:r w:rsidRPr="000B2728">
        <w:rPr>
          <w:b/>
          <w:bCs/>
          <w:szCs w:val="24"/>
        </w:rPr>
        <w:t>Chairperson</w:t>
      </w:r>
    </w:p>
    <w:p w14:paraId="67EE9363" w14:textId="31789372" w:rsidR="00EA1FA2" w:rsidRPr="000B2728" w:rsidRDefault="000B2728">
      <w:pPr>
        <w:pStyle w:val="BlockText"/>
        <w:ind w:left="0" w:right="720"/>
        <w:rPr>
          <w:b/>
          <w:bCs/>
          <w:szCs w:val="24"/>
        </w:rPr>
      </w:pPr>
      <w:r w:rsidRPr="000B2728">
        <w:rPr>
          <w:b/>
          <w:bCs/>
          <w:szCs w:val="24"/>
        </w:rPr>
        <w:t xml:space="preserve">Associate Professor or Full </w:t>
      </w:r>
      <w:r w:rsidR="00933816" w:rsidRPr="000B2728">
        <w:rPr>
          <w:b/>
          <w:bCs/>
          <w:szCs w:val="24"/>
        </w:rPr>
        <w:t>Professor</w:t>
      </w:r>
      <w:r w:rsidR="003A0F35" w:rsidRPr="000B2728">
        <w:rPr>
          <w:b/>
          <w:bCs/>
          <w:szCs w:val="24"/>
        </w:rPr>
        <w:t xml:space="preserve"> (</w:t>
      </w:r>
      <w:r w:rsidR="00933816" w:rsidRPr="000B2728">
        <w:rPr>
          <w:b/>
          <w:bCs/>
          <w:szCs w:val="24"/>
        </w:rPr>
        <w:t>Tenured</w:t>
      </w:r>
      <w:r w:rsidR="003A0F35" w:rsidRPr="000B2728">
        <w:rPr>
          <w:b/>
          <w:bCs/>
          <w:szCs w:val="24"/>
        </w:rPr>
        <w:t>)</w:t>
      </w:r>
    </w:p>
    <w:p w14:paraId="4699329A" w14:textId="77777777" w:rsidR="00147E0C" w:rsidRPr="000B2728" w:rsidRDefault="00147E0C">
      <w:pPr>
        <w:pStyle w:val="BlockText"/>
        <w:ind w:left="0" w:right="720"/>
        <w:rPr>
          <w:b/>
          <w:bCs/>
          <w:szCs w:val="24"/>
        </w:rPr>
      </w:pPr>
      <w:r w:rsidRPr="000B2728">
        <w:rPr>
          <w:b/>
          <w:bCs/>
          <w:szCs w:val="24"/>
        </w:rPr>
        <w:t xml:space="preserve">Department of </w:t>
      </w:r>
      <w:r w:rsidR="004C0B01" w:rsidRPr="000B2728">
        <w:rPr>
          <w:b/>
          <w:bCs/>
          <w:szCs w:val="24"/>
        </w:rPr>
        <w:t>Mathematics</w:t>
      </w:r>
    </w:p>
    <w:p w14:paraId="7E371E86" w14:textId="77777777" w:rsidR="004C0B01" w:rsidRPr="000B2728" w:rsidRDefault="004C0B01">
      <w:pPr>
        <w:pStyle w:val="BlockText"/>
        <w:ind w:left="0" w:right="720"/>
        <w:rPr>
          <w:b/>
          <w:bCs/>
          <w:szCs w:val="24"/>
        </w:rPr>
      </w:pPr>
      <w:r w:rsidRPr="000B2728">
        <w:rPr>
          <w:b/>
          <w:bCs/>
          <w:szCs w:val="24"/>
        </w:rPr>
        <w:t>College of Science, Technology, Engineering, and Mathematics</w:t>
      </w:r>
    </w:p>
    <w:p w14:paraId="239B000E" w14:textId="77777777" w:rsidR="00A10DD8" w:rsidRPr="00A10DD8" w:rsidRDefault="00A10DD8">
      <w:pPr>
        <w:rPr>
          <w:szCs w:val="24"/>
        </w:rPr>
      </w:pPr>
    </w:p>
    <w:p w14:paraId="0C5DD8DA" w14:textId="77777777" w:rsidR="00EA1FA2" w:rsidRPr="00A10DD8" w:rsidRDefault="00EA1FA2">
      <w:pPr>
        <w:rPr>
          <w:szCs w:val="24"/>
        </w:rPr>
      </w:pPr>
    </w:p>
    <w:p w14:paraId="0754ECC7" w14:textId="77F24B89" w:rsidR="00EA1FA2" w:rsidRPr="00A10DD8" w:rsidRDefault="00EA1FA2">
      <w:pPr>
        <w:rPr>
          <w:b/>
          <w:szCs w:val="24"/>
        </w:rPr>
      </w:pPr>
      <w:r w:rsidRPr="00A10DD8">
        <w:rPr>
          <w:b/>
          <w:szCs w:val="24"/>
        </w:rPr>
        <w:t>Primary Responsibilities</w:t>
      </w:r>
    </w:p>
    <w:p w14:paraId="600C5001" w14:textId="77777777" w:rsidR="003A0F35" w:rsidRPr="00A10DD8" w:rsidRDefault="003A0F35">
      <w:pPr>
        <w:rPr>
          <w:szCs w:val="24"/>
        </w:rPr>
      </w:pPr>
    </w:p>
    <w:p w14:paraId="53661BAA" w14:textId="7382EC13" w:rsidR="0014242E" w:rsidRPr="00A10DD8" w:rsidRDefault="0014242E" w:rsidP="004A27F5">
      <w:pPr>
        <w:overflowPunct/>
        <w:textAlignment w:val="auto"/>
        <w:rPr>
          <w:szCs w:val="24"/>
          <w:shd w:val="clear" w:color="auto" w:fill="FFFFFF"/>
        </w:rPr>
      </w:pPr>
      <w:r w:rsidRPr="00A10DD8">
        <w:rPr>
          <w:szCs w:val="24"/>
        </w:rPr>
        <w:t xml:space="preserve">To chair </w:t>
      </w:r>
      <w:r w:rsidR="004A27F5" w:rsidRPr="00A10DD8">
        <w:rPr>
          <w:szCs w:val="24"/>
        </w:rPr>
        <w:t>a department with a dedicated faculty and staff which serves the university community</w:t>
      </w:r>
      <w:r w:rsidRPr="00A10DD8">
        <w:rPr>
          <w:szCs w:val="24"/>
        </w:rPr>
        <w:t xml:space="preserve"> as a whole. To provide the leadership and vision necessary to grow and enhance the department’s academic programs. To ful</w:t>
      </w:r>
      <w:r w:rsidR="004A27F5" w:rsidRPr="00A10DD8">
        <w:rPr>
          <w:szCs w:val="24"/>
        </w:rPr>
        <w:t xml:space="preserve">fill </w:t>
      </w:r>
      <w:r w:rsidR="004A27F5" w:rsidRPr="00A10DD8">
        <w:rPr>
          <w:szCs w:val="24"/>
          <w:shd w:val="clear" w:color="auto" w:fill="FFFFFF"/>
        </w:rPr>
        <w:t>the roles and responsibilities of a chairperson as defined in the Faculty Handbook (</w:t>
      </w:r>
      <w:hyperlink r:id="rId8" w:history="1">
        <w:r w:rsidR="004A27F5" w:rsidRPr="00A10DD8">
          <w:rPr>
            <w:rStyle w:val="Hyperlink"/>
            <w:color w:val="auto"/>
            <w:szCs w:val="24"/>
          </w:rPr>
          <w:t>https://semo.edu/facultysenate/handbook/index.html</w:t>
        </w:r>
      </w:hyperlink>
      <w:r w:rsidR="004A27F5" w:rsidRPr="00A10DD8">
        <w:rPr>
          <w:szCs w:val="24"/>
        </w:rPr>
        <w:t>)</w:t>
      </w:r>
      <w:r w:rsidRPr="00A10DD8">
        <w:rPr>
          <w:szCs w:val="24"/>
          <w:shd w:val="clear" w:color="auto" w:fill="FFFFFF"/>
        </w:rPr>
        <w:t>.</w:t>
      </w:r>
    </w:p>
    <w:p w14:paraId="0F4038C7" w14:textId="77777777" w:rsidR="0014242E" w:rsidRPr="00A10DD8" w:rsidRDefault="0014242E" w:rsidP="004A27F5">
      <w:pPr>
        <w:overflowPunct/>
        <w:textAlignment w:val="auto"/>
        <w:rPr>
          <w:szCs w:val="24"/>
          <w:shd w:val="clear" w:color="auto" w:fill="FFFFFF"/>
        </w:rPr>
      </w:pPr>
    </w:p>
    <w:p w14:paraId="2DCEF2FA" w14:textId="77777777" w:rsidR="004A27F5" w:rsidRPr="00A10DD8" w:rsidRDefault="004A27F5" w:rsidP="004A27F5">
      <w:pPr>
        <w:overflowPunct/>
        <w:textAlignment w:val="auto"/>
        <w:rPr>
          <w:szCs w:val="24"/>
          <w:shd w:val="clear" w:color="auto" w:fill="FFFFFF"/>
        </w:rPr>
      </w:pPr>
      <w:r w:rsidRPr="00A10DD8">
        <w:rPr>
          <w:b/>
          <w:bCs/>
          <w:szCs w:val="24"/>
        </w:rPr>
        <w:t>Chairperson Assignment: </w:t>
      </w:r>
      <w:r w:rsidR="008721CF" w:rsidRPr="00A10DD8">
        <w:rPr>
          <w:bCs/>
          <w:szCs w:val="24"/>
        </w:rPr>
        <w:t xml:space="preserve">The workload </w:t>
      </w:r>
      <w:r w:rsidRPr="00A10DD8">
        <w:rPr>
          <w:szCs w:val="24"/>
          <w:shd w:val="clear" w:color="auto" w:fill="FFFFFF"/>
        </w:rPr>
        <w:t xml:space="preserve">in the department will </w:t>
      </w:r>
      <w:r w:rsidR="008721CF" w:rsidRPr="00A10DD8">
        <w:rPr>
          <w:szCs w:val="24"/>
          <w:shd w:val="clear" w:color="auto" w:fill="FFFFFF"/>
        </w:rPr>
        <w:t xml:space="preserve">include teaching </w:t>
      </w:r>
      <w:r w:rsidRPr="00A10DD8">
        <w:rPr>
          <w:szCs w:val="24"/>
          <w:shd w:val="clear" w:color="auto" w:fill="FFFFFF"/>
        </w:rPr>
        <w:t>six</w:t>
      </w:r>
      <w:r w:rsidR="0014242E" w:rsidRPr="00A10DD8">
        <w:rPr>
          <w:szCs w:val="24"/>
          <w:shd w:val="clear" w:color="auto" w:fill="FFFFFF"/>
        </w:rPr>
        <w:t xml:space="preserve"> credit hours per regular term </w:t>
      </w:r>
      <w:r w:rsidRPr="00A10DD8">
        <w:rPr>
          <w:szCs w:val="24"/>
          <w:shd w:val="clear" w:color="auto" w:fill="FFFFFF"/>
        </w:rPr>
        <w:t xml:space="preserve">in </w:t>
      </w:r>
      <w:r w:rsidR="008721CF" w:rsidRPr="00A10DD8">
        <w:rPr>
          <w:szCs w:val="24"/>
          <w:shd w:val="clear" w:color="auto" w:fill="FFFFFF"/>
        </w:rPr>
        <w:t>the area of expertise and s</w:t>
      </w:r>
      <w:r w:rsidRPr="00A10DD8">
        <w:rPr>
          <w:szCs w:val="24"/>
          <w:shd w:val="clear" w:color="auto" w:fill="FFFFFF"/>
        </w:rPr>
        <w:t>ix hours devoted to administrative responsibilities</w:t>
      </w:r>
      <w:r w:rsidR="008721CF" w:rsidRPr="00A10DD8">
        <w:rPr>
          <w:szCs w:val="24"/>
          <w:shd w:val="clear" w:color="auto" w:fill="FFFFFF"/>
        </w:rPr>
        <w:t xml:space="preserve">. </w:t>
      </w:r>
      <w:r w:rsidR="006B7DEF" w:rsidRPr="00A10DD8">
        <w:rPr>
          <w:szCs w:val="24"/>
          <w:shd w:val="clear" w:color="auto" w:fill="FFFFFF"/>
        </w:rPr>
        <w:t>Administrative r</w:t>
      </w:r>
      <w:r w:rsidR="008721CF" w:rsidRPr="00A10DD8">
        <w:rPr>
          <w:szCs w:val="24"/>
          <w:shd w:val="clear" w:color="auto" w:fill="FFFFFF"/>
        </w:rPr>
        <w:t>esponsibilities include</w:t>
      </w:r>
      <w:r w:rsidR="007B0188" w:rsidRPr="00A10DD8">
        <w:rPr>
          <w:szCs w:val="24"/>
          <w:shd w:val="clear" w:color="auto" w:fill="FFFFFF"/>
        </w:rPr>
        <w:t xml:space="preserve"> (but are not limited to)</w:t>
      </w:r>
      <w:r w:rsidR="008721CF" w:rsidRPr="00A10DD8">
        <w:rPr>
          <w:szCs w:val="24"/>
          <w:shd w:val="clear" w:color="auto" w:fill="FFFFFF"/>
        </w:rPr>
        <w:t>:</w:t>
      </w:r>
    </w:p>
    <w:p w14:paraId="774C1BA3" w14:textId="77777777" w:rsidR="00806481" w:rsidRPr="00A10DD8" w:rsidRDefault="00806481" w:rsidP="004A27F5">
      <w:pPr>
        <w:overflowPunct/>
        <w:textAlignment w:val="auto"/>
        <w:rPr>
          <w:szCs w:val="24"/>
        </w:rPr>
      </w:pPr>
    </w:p>
    <w:p w14:paraId="033521D6" w14:textId="22B3B120" w:rsidR="004A27F5" w:rsidRPr="00DE788A" w:rsidRDefault="00547C94" w:rsidP="00DE788A">
      <w:pPr>
        <w:numPr>
          <w:ilvl w:val="0"/>
          <w:numId w:val="7"/>
        </w:numPr>
        <w:overflowPunct/>
        <w:autoSpaceDE/>
        <w:autoSpaceDN/>
        <w:adjustRightInd/>
        <w:ind w:left="600"/>
        <w:textAlignment w:val="auto"/>
        <w:rPr>
          <w:szCs w:val="24"/>
        </w:rPr>
      </w:pPr>
      <w:bookmarkStart w:id="0" w:name="_Hlk131674462"/>
      <w:r>
        <w:rPr>
          <w:szCs w:val="24"/>
        </w:rPr>
        <w:t xml:space="preserve">Administration </w:t>
      </w:r>
      <w:r w:rsidR="002D15C3" w:rsidRPr="00A10DD8">
        <w:rPr>
          <w:szCs w:val="24"/>
        </w:rPr>
        <w:t xml:space="preserve">of </w:t>
      </w:r>
      <w:r w:rsidR="00DE788A">
        <w:rPr>
          <w:szCs w:val="24"/>
        </w:rPr>
        <w:t>15</w:t>
      </w:r>
      <w:r w:rsidR="00DE788A" w:rsidRPr="00A10DD8">
        <w:rPr>
          <w:szCs w:val="24"/>
        </w:rPr>
        <w:t xml:space="preserve"> </w:t>
      </w:r>
      <w:r w:rsidR="002D15C3" w:rsidRPr="00A10DD8">
        <w:rPr>
          <w:szCs w:val="24"/>
        </w:rPr>
        <w:t>full-time faculty and staff members, and approximately</w:t>
      </w:r>
      <w:r w:rsidR="00DE788A">
        <w:rPr>
          <w:szCs w:val="24"/>
        </w:rPr>
        <w:t xml:space="preserve"> 50</w:t>
      </w:r>
      <w:r w:rsidR="002D15C3">
        <w:rPr>
          <w:szCs w:val="24"/>
        </w:rPr>
        <w:t xml:space="preserve"> </w:t>
      </w:r>
      <w:r w:rsidR="002D15C3" w:rsidRPr="00A10DD8">
        <w:rPr>
          <w:szCs w:val="24"/>
        </w:rPr>
        <w:t xml:space="preserve">undergraduate </w:t>
      </w:r>
      <w:r w:rsidR="002D15C3">
        <w:rPr>
          <w:szCs w:val="24"/>
        </w:rPr>
        <w:t xml:space="preserve">  </w:t>
      </w:r>
      <w:r w:rsidR="002D15C3" w:rsidRPr="00DE788A">
        <w:rPr>
          <w:szCs w:val="24"/>
        </w:rPr>
        <w:t>students</w:t>
      </w:r>
    </w:p>
    <w:bookmarkEnd w:id="0"/>
    <w:p w14:paraId="2A8EC1B6" w14:textId="342F37A6" w:rsidR="002D15C3" w:rsidRPr="002D15C3" w:rsidRDefault="002D15C3" w:rsidP="002D15C3">
      <w:pPr>
        <w:numPr>
          <w:ilvl w:val="0"/>
          <w:numId w:val="7"/>
        </w:numPr>
        <w:overflowPunct/>
        <w:autoSpaceDE/>
        <w:autoSpaceDN/>
        <w:adjustRightInd/>
        <w:ind w:left="600"/>
        <w:textAlignment w:val="auto"/>
        <w:rPr>
          <w:szCs w:val="24"/>
        </w:rPr>
      </w:pPr>
      <w:r>
        <w:rPr>
          <w:szCs w:val="24"/>
        </w:rPr>
        <w:t>Administration and o</w:t>
      </w:r>
      <w:r w:rsidRPr="00A10DD8">
        <w:rPr>
          <w:szCs w:val="24"/>
        </w:rPr>
        <w:t>versight of undergraduate programs in Mathematics</w:t>
      </w:r>
    </w:p>
    <w:p w14:paraId="285FB4F5" w14:textId="1276A26A" w:rsidR="00547C94" w:rsidRPr="00A10DD8" w:rsidRDefault="00547C94" w:rsidP="00806481">
      <w:pPr>
        <w:numPr>
          <w:ilvl w:val="0"/>
          <w:numId w:val="7"/>
        </w:numPr>
        <w:overflowPunct/>
        <w:autoSpaceDE/>
        <w:autoSpaceDN/>
        <w:adjustRightInd/>
        <w:ind w:left="600"/>
        <w:textAlignment w:val="auto"/>
        <w:rPr>
          <w:szCs w:val="24"/>
        </w:rPr>
      </w:pPr>
      <w:r>
        <w:t xml:space="preserve">Administration and oversight of Math </w:t>
      </w:r>
      <w:r w:rsidR="00DE788A">
        <w:t>P</w:t>
      </w:r>
      <w:r>
        <w:t>athway</w:t>
      </w:r>
      <w:r w:rsidR="00DE788A">
        <w:t>s</w:t>
      </w:r>
      <w:r>
        <w:t xml:space="preserve"> courses for all majors on campus</w:t>
      </w:r>
    </w:p>
    <w:p w14:paraId="7AADE6E8" w14:textId="65793710" w:rsidR="007B0188" w:rsidRPr="00A10DD8" w:rsidRDefault="007B0188" w:rsidP="00806481">
      <w:pPr>
        <w:numPr>
          <w:ilvl w:val="0"/>
          <w:numId w:val="7"/>
        </w:numPr>
        <w:overflowPunct/>
        <w:autoSpaceDE/>
        <w:autoSpaceDN/>
        <w:adjustRightInd/>
        <w:ind w:left="600"/>
        <w:textAlignment w:val="auto"/>
        <w:rPr>
          <w:szCs w:val="24"/>
        </w:rPr>
      </w:pPr>
      <w:r w:rsidRPr="00A10DD8">
        <w:rPr>
          <w:szCs w:val="24"/>
          <w:shd w:val="clear" w:color="auto" w:fill="FFFFFF"/>
        </w:rPr>
        <w:t>Officially representing the department's interests both on-campus as well as off</w:t>
      </w:r>
      <w:r w:rsidR="000B2728">
        <w:rPr>
          <w:szCs w:val="24"/>
          <w:shd w:val="clear" w:color="auto" w:fill="FFFFFF"/>
        </w:rPr>
        <w:t>-campus</w:t>
      </w:r>
    </w:p>
    <w:p w14:paraId="7C804332" w14:textId="77777777" w:rsidR="004A27F5" w:rsidRPr="00A10DD8" w:rsidRDefault="004A27F5" w:rsidP="00806481">
      <w:pPr>
        <w:numPr>
          <w:ilvl w:val="0"/>
          <w:numId w:val="7"/>
        </w:numPr>
        <w:overflowPunct/>
        <w:autoSpaceDE/>
        <w:autoSpaceDN/>
        <w:adjustRightInd/>
        <w:ind w:left="600"/>
        <w:textAlignment w:val="auto"/>
        <w:rPr>
          <w:szCs w:val="24"/>
        </w:rPr>
      </w:pPr>
      <w:r w:rsidRPr="00A10DD8">
        <w:rPr>
          <w:szCs w:val="24"/>
        </w:rPr>
        <w:t>Administration of facilities, personnel and budget</w:t>
      </w:r>
    </w:p>
    <w:p w14:paraId="5F9ECB2D" w14:textId="77777777" w:rsidR="007B0188" w:rsidRPr="00A10DD8" w:rsidRDefault="004A27F5" w:rsidP="00806481">
      <w:pPr>
        <w:numPr>
          <w:ilvl w:val="0"/>
          <w:numId w:val="7"/>
        </w:numPr>
        <w:overflowPunct/>
        <w:autoSpaceDE/>
        <w:autoSpaceDN/>
        <w:adjustRightInd/>
        <w:ind w:left="600"/>
        <w:textAlignment w:val="auto"/>
        <w:rPr>
          <w:szCs w:val="24"/>
        </w:rPr>
      </w:pPr>
      <w:r w:rsidRPr="00A10DD8">
        <w:rPr>
          <w:szCs w:val="24"/>
        </w:rPr>
        <w:t>Demonstration of leadership in keeping with the University's mission</w:t>
      </w:r>
      <w:r w:rsidR="007B0188" w:rsidRPr="00A10DD8">
        <w:rPr>
          <w:szCs w:val="24"/>
        </w:rPr>
        <w:t xml:space="preserve"> and strategic plan</w:t>
      </w:r>
    </w:p>
    <w:p w14:paraId="69E55A7B" w14:textId="77777777" w:rsidR="007B0188" w:rsidRPr="00A10DD8" w:rsidRDefault="007B0188" w:rsidP="00806481">
      <w:pPr>
        <w:numPr>
          <w:ilvl w:val="0"/>
          <w:numId w:val="7"/>
        </w:numPr>
        <w:overflowPunct/>
        <w:autoSpaceDE/>
        <w:autoSpaceDN/>
        <w:adjustRightInd/>
        <w:ind w:left="600"/>
        <w:textAlignment w:val="auto"/>
        <w:rPr>
          <w:szCs w:val="24"/>
        </w:rPr>
      </w:pPr>
      <w:r w:rsidRPr="00A10DD8">
        <w:rPr>
          <w:szCs w:val="24"/>
        </w:rPr>
        <w:t>Developing strategies for recruiting and retaining students</w:t>
      </w:r>
    </w:p>
    <w:p w14:paraId="1ECD186C" w14:textId="5823FBF2" w:rsidR="00806481" w:rsidRPr="00A10DD8" w:rsidRDefault="007B0188" w:rsidP="004D5BA1">
      <w:pPr>
        <w:pStyle w:val="ListParagraph"/>
        <w:numPr>
          <w:ilvl w:val="0"/>
          <w:numId w:val="7"/>
        </w:numPr>
        <w:overflowPunct/>
        <w:autoSpaceDE/>
        <w:autoSpaceDN/>
        <w:adjustRightInd/>
        <w:ind w:left="600"/>
        <w:textAlignment w:val="auto"/>
        <w:rPr>
          <w:szCs w:val="24"/>
        </w:rPr>
      </w:pPr>
      <w:r w:rsidRPr="00A10DD8">
        <w:rPr>
          <w:szCs w:val="24"/>
          <w:shd w:val="clear" w:color="auto" w:fill="FFFFFF"/>
        </w:rPr>
        <w:t xml:space="preserve">Ensuring that the </w:t>
      </w:r>
      <w:r w:rsidR="00DE788A">
        <w:rPr>
          <w:szCs w:val="24"/>
          <w:shd w:val="clear" w:color="auto" w:fill="FFFFFF"/>
        </w:rPr>
        <w:t xml:space="preserve">academic </w:t>
      </w:r>
      <w:r w:rsidRPr="00A10DD8">
        <w:rPr>
          <w:szCs w:val="24"/>
          <w:shd w:val="clear" w:color="auto" w:fill="FFFFFF"/>
        </w:rPr>
        <w:t xml:space="preserve">needs of students are </w:t>
      </w:r>
      <w:proofErr w:type="gramStart"/>
      <w:r w:rsidRPr="00A10DD8">
        <w:rPr>
          <w:szCs w:val="24"/>
          <w:shd w:val="clear" w:color="auto" w:fill="FFFFFF"/>
        </w:rPr>
        <w:t>met</w:t>
      </w:r>
      <w:proofErr w:type="gramEnd"/>
    </w:p>
    <w:p w14:paraId="3D2EA4C0" w14:textId="77777777" w:rsidR="007B0188" w:rsidRPr="00A10DD8" w:rsidRDefault="007B0188" w:rsidP="004D5BA1">
      <w:pPr>
        <w:pStyle w:val="ListParagraph"/>
        <w:numPr>
          <w:ilvl w:val="0"/>
          <w:numId w:val="7"/>
        </w:numPr>
        <w:overflowPunct/>
        <w:autoSpaceDE/>
        <w:autoSpaceDN/>
        <w:adjustRightInd/>
        <w:ind w:left="600"/>
        <w:textAlignment w:val="auto"/>
        <w:rPr>
          <w:szCs w:val="24"/>
        </w:rPr>
      </w:pPr>
      <w:r w:rsidRPr="00A10DD8">
        <w:rPr>
          <w:szCs w:val="24"/>
        </w:rPr>
        <w:t xml:space="preserve">Coordinating the hiring of faculty and staff </w:t>
      </w:r>
    </w:p>
    <w:p w14:paraId="41733876" w14:textId="2FBC137F" w:rsidR="007B0188" w:rsidRDefault="007B0188" w:rsidP="00806481">
      <w:pPr>
        <w:numPr>
          <w:ilvl w:val="0"/>
          <w:numId w:val="7"/>
        </w:numPr>
        <w:overflowPunct/>
        <w:autoSpaceDE/>
        <w:autoSpaceDN/>
        <w:adjustRightInd/>
        <w:ind w:left="600"/>
        <w:textAlignment w:val="auto"/>
        <w:rPr>
          <w:szCs w:val="24"/>
        </w:rPr>
      </w:pPr>
      <w:r w:rsidRPr="00A10DD8">
        <w:rPr>
          <w:szCs w:val="24"/>
        </w:rPr>
        <w:t>Interacting with community colleges and high schools</w:t>
      </w:r>
    </w:p>
    <w:p w14:paraId="5D44C90D" w14:textId="28B2B0E0" w:rsidR="00DE788A" w:rsidRPr="00A10DD8" w:rsidRDefault="00DE788A" w:rsidP="00806481">
      <w:pPr>
        <w:numPr>
          <w:ilvl w:val="0"/>
          <w:numId w:val="7"/>
        </w:numPr>
        <w:overflowPunct/>
        <w:autoSpaceDE/>
        <w:autoSpaceDN/>
        <w:adjustRightInd/>
        <w:ind w:left="600"/>
        <w:textAlignment w:val="auto"/>
        <w:rPr>
          <w:szCs w:val="24"/>
        </w:rPr>
      </w:pPr>
      <w:r>
        <w:rPr>
          <w:szCs w:val="24"/>
        </w:rPr>
        <w:t>Working with other departments</w:t>
      </w:r>
    </w:p>
    <w:p w14:paraId="7C49D11E" w14:textId="77777777" w:rsidR="00806481" w:rsidRPr="00A10DD8" w:rsidRDefault="00806481" w:rsidP="006B7DEF">
      <w:pPr>
        <w:rPr>
          <w:rStyle w:val="Strong"/>
          <w:szCs w:val="24"/>
        </w:rPr>
      </w:pPr>
    </w:p>
    <w:p w14:paraId="36E86C54" w14:textId="77777777" w:rsidR="006B7DEF" w:rsidRPr="00A10DD8" w:rsidRDefault="006B7DEF" w:rsidP="006B7DEF">
      <w:pPr>
        <w:rPr>
          <w:szCs w:val="24"/>
        </w:rPr>
      </w:pPr>
      <w:r w:rsidRPr="00A10DD8">
        <w:rPr>
          <w:rStyle w:val="Strong"/>
          <w:szCs w:val="24"/>
        </w:rPr>
        <w:t>Faculty Responsibilities</w:t>
      </w:r>
    </w:p>
    <w:p w14:paraId="0D9092E2" w14:textId="77777777" w:rsidR="004A27F5" w:rsidRPr="00A10DD8" w:rsidRDefault="006B7DEF" w:rsidP="00547C94">
      <w:pPr>
        <w:numPr>
          <w:ilvl w:val="0"/>
          <w:numId w:val="4"/>
        </w:numPr>
        <w:overflowPunct/>
        <w:autoSpaceDE/>
        <w:autoSpaceDN/>
        <w:adjustRightInd/>
        <w:spacing w:before="100" w:beforeAutospacing="1" w:after="100" w:afterAutospacing="1"/>
        <w:ind w:left="706" w:hanging="461"/>
        <w:textAlignment w:val="auto"/>
        <w:rPr>
          <w:szCs w:val="24"/>
        </w:rPr>
      </w:pPr>
      <w:r w:rsidRPr="00A10DD8">
        <w:rPr>
          <w:szCs w:val="24"/>
        </w:rPr>
        <w:t xml:space="preserve">Teaching, </w:t>
      </w:r>
      <w:r w:rsidR="007B0188" w:rsidRPr="00A10DD8">
        <w:rPr>
          <w:szCs w:val="24"/>
        </w:rPr>
        <w:t>engaging in scholarly activities, and performing service to the institution and profession</w:t>
      </w:r>
    </w:p>
    <w:p w14:paraId="7E5F9CB3" w14:textId="77777777" w:rsidR="00806481" w:rsidRPr="00A10DD8" w:rsidRDefault="00806481">
      <w:pPr>
        <w:rPr>
          <w:b/>
          <w:szCs w:val="24"/>
        </w:rPr>
      </w:pPr>
    </w:p>
    <w:p w14:paraId="350B6C80" w14:textId="77777777" w:rsidR="002F2DD1" w:rsidRPr="00A10DD8" w:rsidRDefault="00EA1FA2">
      <w:pPr>
        <w:rPr>
          <w:szCs w:val="24"/>
        </w:rPr>
      </w:pPr>
      <w:r w:rsidRPr="00A10DD8">
        <w:rPr>
          <w:b/>
          <w:szCs w:val="24"/>
        </w:rPr>
        <w:t>Required Qualifications</w:t>
      </w:r>
      <w:r w:rsidR="00147E0C" w:rsidRPr="00A10DD8">
        <w:rPr>
          <w:b/>
          <w:szCs w:val="24"/>
        </w:rPr>
        <w:t>:</w:t>
      </w:r>
      <w:r w:rsidR="00147E0C" w:rsidRPr="00A10DD8">
        <w:rPr>
          <w:szCs w:val="24"/>
        </w:rPr>
        <w:t xml:space="preserve">  </w:t>
      </w:r>
    </w:p>
    <w:p w14:paraId="124E2C84" w14:textId="74DBEE62" w:rsidR="006B7DEF" w:rsidRPr="00A10DD8" w:rsidRDefault="006B7DEF" w:rsidP="00806481">
      <w:pPr>
        <w:pStyle w:val="ListParagraph"/>
        <w:numPr>
          <w:ilvl w:val="0"/>
          <w:numId w:val="1"/>
        </w:numPr>
        <w:overflowPunct/>
        <w:textAlignment w:val="auto"/>
        <w:rPr>
          <w:szCs w:val="24"/>
        </w:rPr>
      </w:pPr>
      <w:r w:rsidRPr="00A10DD8">
        <w:rPr>
          <w:szCs w:val="24"/>
        </w:rPr>
        <w:t xml:space="preserve">Ph.D. in </w:t>
      </w:r>
      <w:proofErr w:type="spellStart"/>
      <w:r w:rsidRPr="00A10DD8">
        <w:rPr>
          <w:szCs w:val="24"/>
        </w:rPr>
        <w:t>Mathemati</w:t>
      </w:r>
      <w:r w:rsidR="002C0904">
        <w:rPr>
          <w:szCs w:val="24"/>
        </w:rPr>
        <w:t>s</w:t>
      </w:r>
      <w:proofErr w:type="spellEnd"/>
      <w:r w:rsidR="002C0904">
        <w:rPr>
          <w:szCs w:val="24"/>
        </w:rPr>
        <w:t xml:space="preserve"> with a preference for those with a </w:t>
      </w:r>
      <w:r w:rsidRPr="00A10DD8">
        <w:rPr>
          <w:szCs w:val="24"/>
        </w:rPr>
        <w:t>Mathematics Education</w:t>
      </w:r>
      <w:r w:rsidR="002C0904">
        <w:rPr>
          <w:szCs w:val="24"/>
        </w:rPr>
        <w:t xml:space="preserve"> background</w:t>
      </w:r>
      <w:r w:rsidR="000B2728">
        <w:rPr>
          <w:szCs w:val="24"/>
        </w:rPr>
        <w:t xml:space="preserve"> </w:t>
      </w:r>
      <w:r w:rsidR="000B2728" w:rsidRPr="000B2728">
        <w:rPr>
          <w:szCs w:val="24"/>
        </w:rPr>
        <w:t>(Degree must be from a regionally accredited or internationally accredited, or government-certified university)</w:t>
      </w:r>
    </w:p>
    <w:p w14:paraId="5C0E7867" w14:textId="4B965AB9" w:rsidR="006B7DEF" w:rsidRPr="00A10DD8" w:rsidRDefault="006B7DEF" w:rsidP="00806481">
      <w:pPr>
        <w:numPr>
          <w:ilvl w:val="0"/>
          <w:numId w:val="1"/>
        </w:numPr>
        <w:rPr>
          <w:szCs w:val="24"/>
        </w:rPr>
      </w:pPr>
      <w:r w:rsidRPr="00A10DD8">
        <w:rPr>
          <w:szCs w:val="24"/>
        </w:rPr>
        <w:t>Demonstrated excellence in teaching, research, and service sufficient to merit the rank of</w:t>
      </w:r>
      <w:r w:rsidR="000B2728">
        <w:rPr>
          <w:szCs w:val="24"/>
        </w:rPr>
        <w:t xml:space="preserve"> associate professor or</w:t>
      </w:r>
      <w:r w:rsidRPr="00A10DD8">
        <w:rPr>
          <w:szCs w:val="24"/>
        </w:rPr>
        <w:t xml:space="preserve"> </w:t>
      </w:r>
      <w:r w:rsidR="000B2728">
        <w:rPr>
          <w:szCs w:val="24"/>
        </w:rPr>
        <w:t>p</w:t>
      </w:r>
      <w:r w:rsidRPr="00A10DD8">
        <w:rPr>
          <w:szCs w:val="24"/>
        </w:rPr>
        <w:t>rofessor with tenure</w:t>
      </w:r>
      <w:r w:rsidR="00DE788A">
        <w:rPr>
          <w:szCs w:val="24"/>
        </w:rPr>
        <w:t>. Experience with math education is a plus.</w:t>
      </w:r>
    </w:p>
    <w:p w14:paraId="322DE6F4" w14:textId="77777777" w:rsidR="00196116" w:rsidRPr="00A10DD8" w:rsidRDefault="00F662CB" w:rsidP="00806481">
      <w:pPr>
        <w:numPr>
          <w:ilvl w:val="0"/>
          <w:numId w:val="1"/>
        </w:numPr>
        <w:overflowPunct/>
        <w:autoSpaceDE/>
        <w:autoSpaceDN/>
        <w:adjustRightInd/>
        <w:textAlignment w:val="auto"/>
        <w:rPr>
          <w:szCs w:val="24"/>
        </w:rPr>
      </w:pPr>
      <w:r>
        <w:rPr>
          <w:szCs w:val="24"/>
        </w:rPr>
        <w:t xml:space="preserve">Excellent </w:t>
      </w:r>
      <w:r w:rsidR="00196116" w:rsidRPr="00A10DD8">
        <w:rPr>
          <w:szCs w:val="24"/>
        </w:rPr>
        <w:t>communication skills</w:t>
      </w:r>
    </w:p>
    <w:p w14:paraId="2601E8D2" w14:textId="77777777" w:rsidR="006B7DEF" w:rsidRPr="00A10DD8" w:rsidRDefault="00806481" w:rsidP="00806481">
      <w:pPr>
        <w:numPr>
          <w:ilvl w:val="0"/>
          <w:numId w:val="1"/>
        </w:numPr>
        <w:rPr>
          <w:szCs w:val="24"/>
        </w:rPr>
      </w:pPr>
      <w:r w:rsidRPr="00A10DD8">
        <w:rPr>
          <w:szCs w:val="24"/>
          <w:shd w:val="clear" w:color="auto" w:fill="FFFFFF"/>
        </w:rPr>
        <w:t>Evidence of successful administrative and leadership experience</w:t>
      </w:r>
    </w:p>
    <w:p w14:paraId="324D9363" w14:textId="77777777" w:rsidR="006B7DEF" w:rsidRPr="00A10DD8" w:rsidRDefault="006B7DEF" w:rsidP="00806481">
      <w:pPr>
        <w:numPr>
          <w:ilvl w:val="0"/>
          <w:numId w:val="1"/>
        </w:numPr>
        <w:rPr>
          <w:szCs w:val="24"/>
        </w:rPr>
      </w:pPr>
      <w:r w:rsidRPr="00A10DD8">
        <w:rPr>
          <w:szCs w:val="24"/>
        </w:rPr>
        <w:t>Demonstrated commitment to collegiality when interacting with others within the University community</w:t>
      </w:r>
    </w:p>
    <w:p w14:paraId="651C014C" w14:textId="77777777" w:rsidR="00806481" w:rsidRPr="00A10DD8" w:rsidRDefault="00806481" w:rsidP="00806481">
      <w:pPr>
        <w:numPr>
          <w:ilvl w:val="0"/>
          <w:numId w:val="1"/>
        </w:numPr>
        <w:overflowPunct/>
        <w:autoSpaceDE/>
        <w:autoSpaceDN/>
        <w:adjustRightInd/>
        <w:textAlignment w:val="auto"/>
        <w:rPr>
          <w:szCs w:val="24"/>
        </w:rPr>
      </w:pPr>
      <w:r w:rsidRPr="00A10DD8">
        <w:rPr>
          <w:szCs w:val="24"/>
        </w:rPr>
        <w:t xml:space="preserve">Demonstrated </w:t>
      </w:r>
      <w:r w:rsidR="0085770B">
        <w:rPr>
          <w:szCs w:val="24"/>
        </w:rPr>
        <w:t>commitment</w:t>
      </w:r>
      <w:r w:rsidRPr="00A10DD8">
        <w:rPr>
          <w:szCs w:val="24"/>
        </w:rPr>
        <w:t xml:space="preserve"> to maintain</w:t>
      </w:r>
      <w:r w:rsidR="0085770B">
        <w:rPr>
          <w:szCs w:val="24"/>
        </w:rPr>
        <w:t>ing</w:t>
      </w:r>
      <w:r w:rsidRPr="00A10DD8">
        <w:rPr>
          <w:szCs w:val="24"/>
        </w:rPr>
        <w:t xml:space="preserve"> a high level of faculty morale and enthusiasm</w:t>
      </w:r>
    </w:p>
    <w:p w14:paraId="5E79D3FF" w14:textId="77777777" w:rsidR="00095AD9" w:rsidRPr="00A10DD8" w:rsidRDefault="00095AD9">
      <w:pPr>
        <w:rPr>
          <w:b/>
          <w:szCs w:val="24"/>
        </w:rPr>
      </w:pPr>
    </w:p>
    <w:p w14:paraId="1AAB634B" w14:textId="59AECD03" w:rsidR="000B2728" w:rsidRPr="000B2728" w:rsidRDefault="000B2728" w:rsidP="001817EC">
      <w:pPr>
        <w:pStyle w:val="Default"/>
        <w:rPr>
          <w:rFonts w:ascii="Times New Roman" w:hAnsi="Times New Roman" w:cs="Times New Roman"/>
          <w:shd w:val="clear" w:color="auto" w:fill="FFFFFF"/>
        </w:rPr>
      </w:pPr>
      <w:r w:rsidRPr="000B2728">
        <w:rPr>
          <w:rStyle w:val="Strong"/>
          <w:rFonts w:ascii="Times New Roman" w:hAnsi="Times New Roman" w:cs="Times New Roman"/>
        </w:rPr>
        <w:lastRenderedPageBreak/>
        <w:t>Southeast Missouri State University </w:t>
      </w:r>
      <w:r w:rsidRPr="000B2728">
        <w:rPr>
          <w:rFonts w:ascii="Times New Roman" w:hAnsi="Times New Roman" w:cs="Times New Roman"/>
          <w:shd w:val="clear" w:color="auto" w:fill="FFFFFF"/>
        </w:rPr>
        <w:t>is interested in recruiting academic leaders with a commitment to excellent undergraduate and graduate education grounded in the teacher-scholar model.  Successful candidates will demonstrate the ability to facilitate the development of innovative curricula and delivery strategies, including traditional, blended, and online formats, and initiatives promoting student success, retention, and degree completion.</w:t>
      </w:r>
    </w:p>
    <w:p w14:paraId="21FBC794" w14:textId="77777777" w:rsidR="000B2728" w:rsidRDefault="000B2728" w:rsidP="001817EC">
      <w:pPr>
        <w:pStyle w:val="Default"/>
        <w:rPr>
          <w:rFonts w:ascii="Arial" w:hAnsi="Arial" w:cs="Arial"/>
          <w:sz w:val="21"/>
          <w:szCs w:val="21"/>
          <w:shd w:val="clear" w:color="auto" w:fill="FFFFFF"/>
        </w:rPr>
      </w:pPr>
    </w:p>
    <w:p w14:paraId="19082B5A" w14:textId="7668B7DF" w:rsidR="007220BE" w:rsidRPr="000B2728" w:rsidRDefault="00806481" w:rsidP="00806481">
      <w:pPr>
        <w:pStyle w:val="Default"/>
        <w:rPr>
          <w:rStyle w:val="Strong"/>
          <w:rFonts w:ascii="Times New Roman" w:hAnsi="Times New Roman" w:cs="Times New Roman"/>
        </w:rPr>
      </w:pPr>
      <w:r w:rsidRPr="00A10DD8">
        <w:rPr>
          <w:rFonts w:ascii="Times New Roman" w:hAnsi="Times New Roman" w:cs="Times New Roman"/>
          <w:b/>
          <w:bCs/>
          <w:color w:val="auto"/>
        </w:rPr>
        <w:t xml:space="preserve">Application Deadline: </w:t>
      </w:r>
      <w:r w:rsidRPr="00A10DD8">
        <w:rPr>
          <w:rFonts w:ascii="Times New Roman" w:hAnsi="Times New Roman" w:cs="Times New Roman"/>
          <w:color w:val="auto"/>
        </w:rPr>
        <w:t>The pos</w:t>
      </w:r>
      <w:r w:rsidR="007220BE" w:rsidRPr="00A10DD8">
        <w:rPr>
          <w:rFonts w:ascii="Times New Roman" w:hAnsi="Times New Roman" w:cs="Times New Roman"/>
          <w:color w:val="auto"/>
        </w:rPr>
        <w:t>ition is available August 1, 202</w:t>
      </w:r>
      <w:r w:rsidR="002D15C3">
        <w:rPr>
          <w:rFonts w:ascii="Times New Roman" w:hAnsi="Times New Roman" w:cs="Times New Roman"/>
          <w:color w:val="auto"/>
        </w:rPr>
        <w:t>3</w:t>
      </w:r>
      <w:r w:rsidRPr="000B2728">
        <w:rPr>
          <w:rFonts w:ascii="Times New Roman" w:hAnsi="Times New Roman" w:cs="Times New Roman"/>
          <w:color w:val="auto"/>
        </w:rPr>
        <w:t xml:space="preserve">. </w:t>
      </w:r>
      <w:r w:rsidR="000B2728" w:rsidRPr="000B2728">
        <w:rPr>
          <w:rFonts w:ascii="Times New Roman" w:hAnsi="Times New Roman" w:cs="Times New Roman"/>
          <w:shd w:val="clear" w:color="auto" w:fill="FFFFFF"/>
        </w:rPr>
        <w:t>To ensure full consideration, applications must be received by </w:t>
      </w:r>
      <w:r w:rsidR="00DE788A">
        <w:rPr>
          <w:rStyle w:val="Strong"/>
          <w:rFonts w:ascii="Times New Roman" w:hAnsi="Times New Roman" w:cs="Times New Roman"/>
        </w:rPr>
        <w:t>May</w:t>
      </w:r>
      <w:r w:rsidR="002D15C3">
        <w:rPr>
          <w:rStyle w:val="Strong"/>
          <w:rFonts w:ascii="Times New Roman" w:hAnsi="Times New Roman" w:cs="Times New Roman"/>
        </w:rPr>
        <w:t xml:space="preserve"> </w:t>
      </w:r>
      <w:r w:rsidR="00DE788A">
        <w:rPr>
          <w:rStyle w:val="Strong"/>
          <w:rFonts w:ascii="Times New Roman" w:hAnsi="Times New Roman" w:cs="Times New Roman"/>
        </w:rPr>
        <w:t>30</w:t>
      </w:r>
      <w:r w:rsidR="002D15C3">
        <w:rPr>
          <w:rStyle w:val="Strong"/>
          <w:rFonts w:ascii="Times New Roman" w:hAnsi="Times New Roman" w:cs="Times New Roman"/>
        </w:rPr>
        <w:t>,</w:t>
      </w:r>
      <w:r w:rsidR="000B2728" w:rsidRPr="000B2728">
        <w:rPr>
          <w:rStyle w:val="Strong"/>
          <w:rFonts w:ascii="Times New Roman" w:hAnsi="Times New Roman" w:cs="Times New Roman"/>
        </w:rPr>
        <w:t xml:space="preserve"> 20</w:t>
      </w:r>
      <w:r w:rsidR="002D15C3">
        <w:rPr>
          <w:rStyle w:val="Strong"/>
          <w:rFonts w:ascii="Times New Roman" w:hAnsi="Times New Roman" w:cs="Times New Roman"/>
        </w:rPr>
        <w:t>23</w:t>
      </w:r>
      <w:r w:rsidR="000B2728" w:rsidRPr="000B2728">
        <w:rPr>
          <w:rStyle w:val="Strong"/>
          <w:rFonts w:ascii="Times New Roman" w:hAnsi="Times New Roman" w:cs="Times New Roman"/>
        </w:rPr>
        <w:t>.</w:t>
      </w:r>
    </w:p>
    <w:p w14:paraId="4BF040A8" w14:textId="77777777" w:rsidR="000B2728" w:rsidRPr="00A10DD8" w:rsidRDefault="000B2728" w:rsidP="00806481">
      <w:pPr>
        <w:pStyle w:val="Default"/>
        <w:rPr>
          <w:rFonts w:ascii="Times New Roman" w:hAnsi="Times New Roman" w:cs="Times New Roman"/>
          <w:b/>
          <w:bCs/>
          <w:color w:val="auto"/>
        </w:rPr>
      </w:pPr>
    </w:p>
    <w:p w14:paraId="6973ED71" w14:textId="1958A57E" w:rsidR="007220BE" w:rsidRPr="00A10DD8" w:rsidRDefault="008B7985" w:rsidP="00806481">
      <w:pPr>
        <w:pStyle w:val="Default"/>
        <w:rPr>
          <w:rFonts w:ascii="Times New Roman" w:hAnsi="Times New Roman" w:cs="Times New Roman"/>
          <w:color w:val="auto"/>
        </w:rPr>
      </w:pPr>
      <w:r>
        <w:rPr>
          <w:rFonts w:ascii="Times New Roman" w:hAnsi="Times New Roman" w:cs="Times New Roman"/>
          <w:b/>
          <w:bCs/>
          <w:color w:val="auto"/>
        </w:rPr>
        <w:t xml:space="preserve">To Apply: </w:t>
      </w:r>
      <w:r w:rsidR="00806481" w:rsidRPr="00A10DD8">
        <w:rPr>
          <w:rFonts w:ascii="Times New Roman" w:hAnsi="Times New Roman" w:cs="Times New Roman"/>
          <w:color w:val="auto"/>
        </w:rPr>
        <w:t xml:space="preserve"> </w:t>
      </w:r>
      <w:r>
        <w:rPr>
          <w:rFonts w:ascii="Times New Roman" w:hAnsi="Times New Roman" w:cs="Times New Roman"/>
          <w:color w:val="auto"/>
        </w:rPr>
        <w:t>S</w:t>
      </w:r>
      <w:r w:rsidR="00806481" w:rsidRPr="00A10DD8">
        <w:rPr>
          <w:rFonts w:ascii="Times New Roman" w:hAnsi="Times New Roman" w:cs="Times New Roman"/>
          <w:color w:val="auto"/>
        </w:rPr>
        <w:t>ubmit the following items online at</w:t>
      </w:r>
      <w:r>
        <w:rPr>
          <w:rFonts w:ascii="Times New Roman" w:hAnsi="Times New Roman" w:cs="Times New Roman"/>
          <w:color w:val="auto"/>
        </w:rPr>
        <w:t xml:space="preserve"> </w:t>
      </w:r>
      <w:hyperlink r:id="rId9" w:history="1">
        <w:r w:rsidRPr="003C49F6">
          <w:rPr>
            <w:rStyle w:val="Hyperlink"/>
            <w:rFonts w:ascii="Times New Roman" w:hAnsi="Times New Roman" w:cs="Times New Roman"/>
          </w:rPr>
          <w:t>https://www.schooljobs.com/careers/semoedu/promotionaljobs</w:t>
        </w:r>
      </w:hyperlink>
      <w:r>
        <w:rPr>
          <w:rFonts w:ascii="Times New Roman" w:hAnsi="Times New Roman" w:cs="Times New Roman"/>
          <w:color w:val="auto"/>
        </w:rPr>
        <w:t xml:space="preserve"> </w:t>
      </w:r>
    </w:p>
    <w:p w14:paraId="1F68E869" w14:textId="77777777" w:rsidR="007220BE" w:rsidRPr="00A10DD8" w:rsidRDefault="007220BE" w:rsidP="00806481">
      <w:pPr>
        <w:pStyle w:val="Default"/>
        <w:rPr>
          <w:rFonts w:ascii="Times New Roman" w:hAnsi="Times New Roman" w:cs="Times New Roman"/>
          <w:color w:val="auto"/>
        </w:rPr>
      </w:pPr>
    </w:p>
    <w:p w14:paraId="16A8CE40" w14:textId="795663FB" w:rsidR="007220BE" w:rsidRPr="00A10DD8" w:rsidRDefault="007220BE" w:rsidP="007220BE">
      <w:pPr>
        <w:numPr>
          <w:ilvl w:val="0"/>
          <w:numId w:val="2"/>
        </w:numPr>
        <w:rPr>
          <w:szCs w:val="24"/>
        </w:rPr>
      </w:pPr>
      <w:r w:rsidRPr="00A10DD8">
        <w:rPr>
          <w:szCs w:val="24"/>
        </w:rPr>
        <w:t xml:space="preserve">Letter of interest addressing all position </w:t>
      </w:r>
      <w:r w:rsidR="008B7985">
        <w:rPr>
          <w:szCs w:val="24"/>
        </w:rPr>
        <w:t xml:space="preserve">required </w:t>
      </w:r>
      <w:proofErr w:type="gramStart"/>
      <w:r w:rsidRPr="00A10DD8">
        <w:rPr>
          <w:szCs w:val="24"/>
        </w:rPr>
        <w:t>qualifications</w:t>
      </w:r>
      <w:proofErr w:type="gramEnd"/>
    </w:p>
    <w:p w14:paraId="64FD3960" w14:textId="77777777" w:rsidR="007220BE" w:rsidRPr="00A10DD8" w:rsidRDefault="007220BE" w:rsidP="007220BE">
      <w:pPr>
        <w:numPr>
          <w:ilvl w:val="0"/>
          <w:numId w:val="2"/>
        </w:numPr>
        <w:rPr>
          <w:szCs w:val="24"/>
        </w:rPr>
      </w:pPr>
      <w:r w:rsidRPr="00A10DD8">
        <w:rPr>
          <w:szCs w:val="24"/>
        </w:rPr>
        <w:t>Current curriculum vitae</w:t>
      </w:r>
    </w:p>
    <w:p w14:paraId="618F06B1" w14:textId="4915B9D1" w:rsidR="007220BE" w:rsidRPr="00A10DD8" w:rsidRDefault="007220BE" w:rsidP="007220BE">
      <w:pPr>
        <w:numPr>
          <w:ilvl w:val="0"/>
          <w:numId w:val="2"/>
        </w:numPr>
        <w:rPr>
          <w:szCs w:val="24"/>
        </w:rPr>
      </w:pPr>
      <w:r w:rsidRPr="00A10DD8">
        <w:rPr>
          <w:szCs w:val="24"/>
        </w:rPr>
        <w:t>Statement o</w:t>
      </w:r>
      <w:r w:rsidR="008B7985">
        <w:rPr>
          <w:szCs w:val="24"/>
        </w:rPr>
        <w:t>n</w:t>
      </w:r>
      <w:r w:rsidRPr="00A10DD8">
        <w:rPr>
          <w:szCs w:val="24"/>
        </w:rPr>
        <w:t xml:space="preserve"> </w:t>
      </w:r>
      <w:r w:rsidR="008B7985">
        <w:rPr>
          <w:szCs w:val="24"/>
        </w:rPr>
        <w:t>t</w:t>
      </w:r>
      <w:r w:rsidRPr="00A10DD8">
        <w:rPr>
          <w:szCs w:val="24"/>
        </w:rPr>
        <w:t xml:space="preserve">eaching </w:t>
      </w:r>
      <w:r w:rsidR="008B7985">
        <w:rPr>
          <w:szCs w:val="24"/>
        </w:rPr>
        <w:t>p</w:t>
      </w:r>
      <w:r w:rsidRPr="00A10DD8">
        <w:rPr>
          <w:szCs w:val="24"/>
        </w:rPr>
        <w:t>hilosophy</w:t>
      </w:r>
    </w:p>
    <w:p w14:paraId="4700A6F1" w14:textId="58FB1F3C" w:rsidR="007220BE" w:rsidRPr="00A10DD8" w:rsidRDefault="007220BE" w:rsidP="007220BE">
      <w:pPr>
        <w:numPr>
          <w:ilvl w:val="0"/>
          <w:numId w:val="2"/>
        </w:numPr>
        <w:rPr>
          <w:szCs w:val="24"/>
        </w:rPr>
      </w:pPr>
      <w:r w:rsidRPr="00A10DD8">
        <w:rPr>
          <w:szCs w:val="24"/>
        </w:rPr>
        <w:t>Statement o</w:t>
      </w:r>
      <w:r w:rsidR="008B7985">
        <w:rPr>
          <w:szCs w:val="24"/>
        </w:rPr>
        <w:t>n</w:t>
      </w:r>
      <w:r w:rsidRPr="00A10DD8">
        <w:rPr>
          <w:szCs w:val="24"/>
        </w:rPr>
        <w:t xml:space="preserve"> </w:t>
      </w:r>
      <w:r w:rsidR="008B7985">
        <w:rPr>
          <w:szCs w:val="24"/>
        </w:rPr>
        <w:t>r</w:t>
      </w:r>
      <w:r w:rsidRPr="00A10DD8">
        <w:rPr>
          <w:szCs w:val="24"/>
        </w:rPr>
        <w:t xml:space="preserve">esearch </w:t>
      </w:r>
      <w:r w:rsidR="008B7985">
        <w:rPr>
          <w:szCs w:val="24"/>
        </w:rPr>
        <w:t>i</w:t>
      </w:r>
      <w:r w:rsidRPr="00A10DD8">
        <w:rPr>
          <w:szCs w:val="24"/>
        </w:rPr>
        <w:t>nterests</w:t>
      </w:r>
    </w:p>
    <w:p w14:paraId="7F1141F1" w14:textId="77777777" w:rsidR="007220BE" w:rsidRPr="00A10DD8" w:rsidRDefault="007220BE" w:rsidP="007220BE">
      <w:pPr>
        <w:numPr>
          <w:ilvl w:val="0"/>
          <w:numId w:val="2"/>
        </w:numPr>
        <w:rPr>
          <w:szCs w:val="24"/>
        </w:rPr>
      </w:pPr>
      <w:r w:rsidRPr="00A10DD8">
        <w:rPr>
          <w:szCs w:val="24"/>
        </w:rPr>
        <w:t>Unofficial copies of transcripts (official transcripts are required when offer of employment is accepted)</w:t>
      </w:r>
    </w:p>
    <w:p w14:paraId="541BA4F3" w14:textId="18623EF8" w:rsidR="007220BE" w:rsidRPr="00A10DD8" w:rsidRDefault="007220BE" w:rsidP="007220BE">
      <w:pPr>
        <w:numPr>
          <w:ilvl w:val="0"/>
          <w:numId w:val="2"/>
        </w:numPr>
        <w:rPr>
          <w:szCs w:val="24"/>
        </w:rPr>
      </w:pPr>
      <w:r w:rsidRPr="00A10DD8">
        <w:rPr>
          <w:szCs w:val="24"/>
        </w:rPr>
        <w:t>Name</w:t>
      </w:r>
      <w:r w:rsidR="008B7985">
        <w:rPr>
          <w:szCs w:val="24"/>
        </w:rPr>
        <w:t>s</w:t>
      </w:r>
      <w:r w:rsidRPr="00A10DD8">
        <w:rPr>
          <w:szCs w:val="24"/>
        </w:rPr>
        <w:t xml:space="preserve"> and contact information of three current</w:t>
      </w:r>
      <w:r w:rsidR="008B7985">
        <w:rPr>
          <w:szCs w:val="24"/>
        </w:rPr>
        <w:t>,</w:t>
      </w:r>
      <w:r w:rsidRPr="00A10DD8">
        <w:rPr>
          <w:szCs w:val="24"/>
        </w:rPr>
        <w:t xml:space="preserve"> professional references</w:t>
      </w:r>
    </w:p>
    <w:p w14:paraId="4393D56B" w14:textId="77777777" w:rsidR="003A0F35" w:rsidRPr="00A10DD8" w:rsidRDefault="003A0F35" w:rsidP="007220BE">
      <w:pPr>
        <w:pStyle w:val="Default"/>
        <w:rPr>
          <w:rFonts w:ascii="Times New Roman" w:hAnsi="Times New Roman" w:cs="Times New Roman"/>
          <w:color w:val="auto"/>
        </w:rPr>
      </w:pPr>
    </w:p>
    <w:p w14:paraId="2B02E4EC" w14:textId="77777777" w:rsidR="004C0B01" w:rsidRPr="00A10DD8" w:rsidRDefault="004C0B01" w:rsidP="004C0B01">
      <w:pPr>
        <w:overflowPunct/>
        <w:textAlignment w:val="auto"/>
        <w:rPr>
          <w:szCs w:val="24"/>
        </w:rPr>
      </w:pPr>
    </w:p>
    <w:p w14:paraId="0F500771" w14:textId="760572EA" w:rsidR="003A0F35" w:rsidRPr="00A10DD8" w:rsidRDefault="003A0F35" w:rsidP="004C0B01">
      <w:pPr>
        <w:rPr>
          <w:szCs w:val="24"/>
        </w:rPr>
      </w:pPr>
      <w:r w:rsidRPr="00A10DD8">
        <w:rPr>
          <w:rStyle w:val="Strong"/>
          <w:szCs w:val="24"/>
        </w:rPr>
        <w:t>Departmental Information:  </w:t>
      </w:r>
      <w:r w:rsidRPr="00A10DD8">
        <w:rPr>
          <w:szCs w:val="24"/>
        </w:rPr>
        <w:t xml:space="preserve">The Department of Mathematics includes </w:t>
      </w:r>
      <w:r w:rsidR="00DE788A">
        <w:rPr>
          <w:szCs w:val="24"/>
        </w:rPr>
        <w:t xml:space="preserve">15 </w:t>
      </w:r>
      <w:r w:rsidRPr="00A10DD8">
        <w:rPr>
          <w:szCs w:val="24"/>
        </w:rPr>
        <w:t xml:space="preserve">full time faculty </w:t>
      </w:r>
      <w:r w:rsidR="00385052">
        <w:rPr>
          <w:szCs w:val="24"/>
        </w:rPr>
        <w:t xml:space="preserve">and staff </w:t>
      </w:r>
      <w:r w:rsidRPr="00A10DD8">
        <w:rPr>
          <w:szCs w:val="24"/>
        </w:rPr>
        <w:t>members serving both undergraduate and graduate students. Information about the department may be accessed at</w:t>
      </w:r>
      <w:r w:rsidR="000B2728">
        <w:rPr>
          <w:szCs w:val="24"/>
        </w:rPr>
        <w:t xml:space="preserve"> </w:t>
      </w:r>
      <w:hyperlink r:id="rId10" w:history="1">
        <w:r w:rsidR="000B2728">
          <w:rPr>
            <w:rStyle w:val="Hyperlink"/>
          </w:rPr>
          <w:t>https://www.semo.edu/math/</w:t>
        </w:r>
      </w:hyperlink>
      <w:r w:rsidR="000B2728">
        <w:t>.</w:t>
      </w:r>
      <w:r w:rsidR="000B2728" w:rsidRPr="00A10DD8">
        <w:rPr>
          <w:szCs w:val="24"/>
        </w:rPr>
        <w:t xml:space="preserve"> </w:t>
      </w:r>
    </w:p>
    <w:p w14:paraId="0C3A3ED7" w14:textId="574B7C68" w:rsidR="003A0F35" w:rsidRPr="00A10DD8" w:rsidRDefault="003A0F35" w:rsidP="004C0B01">
      <w:pPr>
        <w:rPr>
          <w:szCs w:val="24"/>
        </w:rPr>
      </w:pPr>
      <w:r w:rsidRPr="00A10DD8">
        <w:rPr>
          <w:szCs w:val="24"/>
        </w:rPr>
        <w:br/>
      </w:r>
      <w:r w:rsidRPr="00A10DD8">
        <w:rPr>
          <w:rStyle w:val="Strong"/>
          <w:szCs w:val="24"/>
        </w:rPr>
        <w:t>University Facts:</w:t>
      </w:r>
      <w:r w:rsidRPr="00A10DD8">
        <w:rPr>
          <w:szCs w:val="24"/>
        </w:rPr>
        <w:t xml:space="preserve"> Southeast Missouri State University is a comprehensive regional state university with five colleges, </w:t>
      </w:r>
      <w:r w:rsidR="000B2728">
        <w:rPr>
          <w:szCs w:val="24"/>
        </w:rPr>
        <w:t xml:space="preserve">approximately </w:t>
      </w:r>
      <w:r w:rsidRPr="00A10DD8">
        <w:rPr>
          <w:szCs w:val="24"/>
        </w:rPr>
        <w:t>1</w:t>
      </w:r>
      <w:r w:rsidR="00A70950">
        <w:rPr>
          <w:szCs w:val="24"/>
        </w:rPr>
        <w:t>0</w:t>
      </w:r>
      <w:r w:rsidRPr="00A10DD8">
        <w:rPr>
          <w:szCs w:val="24"/>
        </w:rPr>
        <w:t xml:space="preserve">,000 students, and a faculty and staff of </w:t>
      </w:r>
      <w:r w:rsidR="000B2728">
        <w:rPr>
          <w:szCs w:val="24"/>
        </w:rPr>
        <w:t xml:space="preserve">approximately </w:t>
      </w:r>
      <w:r w:rsidRPr="00A10DD8">
        <w:rPr>
          <w:szCs w:val="24"/>
        </w:rPr>
        <w:t>1</w:t>
      </w:r>
      <w:r w:rsidR="00A70950">
        <w:rPr>
          <w:szCs w:val="24"/>
        </w:rPr>
        <w:t>,000</w:t>
      </w:r>
      <w:r w:rsidRPr="00A10DD8">
        <w:rPr>
          <w:szCs w:val="24"/>
        </w:rPr>
        <w:t xml:space="preserve">.  Southeast, a moderately selective institution, offers baccalaureate, masters and specialist degrees.  Cape Girardeau, a historic city overlooking the Mississippi River, is the hub of a thriving county with a population of approximately </w:t>
      </w:r>
      <w:r w:rsidR="00382C6C">
        <w:rPr>
          <w:szCs w:val="24"/>
        </w:rPr>
        <w:t>82</w:t>
      </w:r>
      <w:r w:rsidRPr="00A10DD8">
        <w:rPr>
          <w:szCs w:val="24"/>
        </w:rPr>
        <w:t>,000.  Serving a region of more than 500,000 people, it is the largest center for retail, medical, manufacturing, communications, and cultural activities between St. Louis and Memphis.</w:t>
      </w:r>
    </w:p>
    <w:p w14:paraId="318967D7" w14:textId="77777777" w:rsidR="003A0F35" w:rsidRDefault="003A0F35" w:rsidP="004C0B01">
      <w:pPr>
        <w:rPr>
          <w:rFonts w:ascii="Arial" w:hAnsi="Arial" w:cs="Arial"/>
          <w:color w:val="000000"/>
          <w:sz w:val="21"/>
          <w:szCs w:val="21"/>
        </w:rPr>
      </w:pPr>
    </w:p>
    <w:p w14:paraId="7F61839C" w14:textId="77777777" w:rsidR="004C0B01" w:rsidRDefault="004C0B01" w:rsidP="003A0F35">
      <w:pPr>
        <w:jc w:val="center"/>
        <w:rPr>
          <w:sz w:val="23"/>
          <w:szCs w:val="23"/>
        </w:rPr>
      </w:pPr>
      <w:r>
        <w:rPr>
          <w:sz w:val="23"/>
          <w:szCs w:val="23"/>
        </w:rPr>
        <w:t>AN EQUAL OPPORTUNITY, AFFIRMATIVE ACTION EMPLOYER</w:t>
      </w:r>
    </w:p>
    <w:p w14:paraId="5B02F613" w14:textId="77777777" w:rsidR="007220BE" w:rsidRDefault="007220BE" w:rsidP="003A0F35">
      <w:pPr>
        <w:jc w:val="center"/>
        <w:rPr>
          <w:sz w:val="23"/>
          <w:szCs w:val="23"/>
        </w:rPr>
      </w:pPr>
    </w:p>
    <w:sectPr w:rsidR="007220BE" w:rsidSect="00540F71">
      <w:headerReference w:type="default" r:id="rId11"/>
      <w:footerReference w:type="default" r:id="rId12"/>
      <w:pgSz w:w="12240" w:h="15840"/>
      <w:pgMar w:top="1152" w:right="1152" w:bottom="129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728D" w14:textId="77777777" w:rsidR="00897054" w:rsidRDefault="00897054">
      <w:r>
        <w:separator/>
      </w:r>
    </w:p>
  </w:endnote>
  <w:endnote w:type="continuationSeparator" w:id="0">
    <w:p w14:paraId="48DD8913" w14:textId="77777777" w:rsidR="00897054" w:rsidRDefault="0089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72A2" w14:textId="77777777" w:rsidR="00163C7B" w:rsidRDefault="00163C7B">
    <w:pPr>
      <w:pStyle w:val="Footer"/>
      <w:rPr>
        <w:i/>
        <w:sz w:val="3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E449" w14:textId="77777777" w:rsidR="00897054" w:rsidRDefault="00897054">
      <w:r>
        <w:separator/>
      </w:r>
    </w:p>
  </w:footnote>
  <w:footnote w:type="continuationSeparator" w:id="0">
    <w:p w14:paraId="2C02560C" w14:textId="77777777" w:rsidR="00897054" w:rsidRDefault="0089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1A16" w14:textId="4FC7F893" w:rsidR="00163C7B" w:rsidRPr="000B100E" w:rsidRDefault="000B100E">
    <w:pPr>
      <w:pStyle w:val="Header"/>
      <w:rPr>
        <w:i/>
        <w:sz w:val="2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70AF"/>
    <w:multiLevelType w:val="multilevel"/>
    <w:tmpl w:val="5DDA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01ACB"/>
    <w:multiLevelType w:val="multilevel"/>
    <w:tmpl w:val="471A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70F9D"/>
    <w:multiLevelType w:val="multilevel"/>
    <w:tmpl w:val="4458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E1885"/>
    <w:multiLevelType w:val="hybridMultilevel"/>
    <w:tmpl w:val="D31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171"/>
    <w:multiLevelType w:val="multilevel"/>
    <w:tmpl w:val="05DE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26C00"/>
    <w:multiLevelType w:val="multilevel"/>
    <w:tmpl w:val="0124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0F1204"/>
    <w:multiLevelType w:val="hybridMultilevel"/>
    <w:tmpl w:val="8ED2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225915">
    <w:abstractNumId w:val="6"/>
  </w:num>
  <w:num w:numId="2" w16cid:durableId="2068724350">
    <w:abstractNumId w:val="3"/>
  </w:num>
  <w:num w:numId="3" w16cid:durableId="161160779">
    <w:abstractNumId w:val="5"/>
  </w:num>
  <w:num w:numId="4" w16cid:durableId="238902165">
    <w:abstractNumId w:val="4"/>
  </w:num>
  <w:num w:numId="5" w16cid:durableId="1641377383">
    <w:abstractNumId w:val="1"/>
  </w:num>
  <w:num w:numId="6" w16cid:durableId="1893542122">
    <w:abstractNumId w:val="0"/>
  </w:num>
  <w:num w:numId="7" w16cid:durableId="1085692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77"/>
    <w:rsid w:val="00014467"/>
    <w:rsid w:val="00074DB9"/>
    <w:rsid w:val="00095AD9"/>
    <w:rsid w:val="00096E99"/>
    <w:rsid w:val="000B100E"/>
    <w:rsid w:val="000B2728"/>
    <w:rsid w:val="000E1419"/>
    <w:rsid w:val="001355F7"/>
    <w:rsid w:val="0014242E"/>
    <w:rsid w:val="00147E0C"/>
    <w:rsid w:val="00156996"/>
    <w:rsid w:val="00163C7B"/>
    <w:rsid w:val="001817EC"/>
    <w:rsid w:val="00192149"/>
    <w:rsid w:val="00196116"/>
    <w:rsid w:val="001D6BBA"/>
    <w:rsid w:val="00287DC9"/>
    <w:rsid w:val="002904B0"/>
    <w:rsid w:val="002957A1"/>
    <w:rsid w:val="002B362E"/>
    <w:rsid w:val="002C0904"/>
    <w:rsid w:val="002D15C3"/>
    <w:rsid w:val="002D3033"/>
    <w:rsid w:val="002E0556"/>
    <w:rsid w:val="002E1F3C"/>
    <w:rsid w:val="002E7C3A"/>
    <w:rsid w:val="002F2DD1"/>
    <w:rsid w:val="00306814"/>
    <w:rsid w:val="003620E5"/>
    <w:rsid w:val="00382C6C"/>
    <w:rsid w:val="00385052"/>
    <w:rsid w:val="003A0F35"/>
    <w:rsid w:val="003D00FC"/>
    <w:rsid w:val="003E155A"/>
    <w:rsid w:val="00477683"/>
    <w:rsid w:val="004809AF"/>
    <w:rsid w:val="004A27F5"/>
    <w:rsid w:val="004B0684"/>
    <w:rsid w:val="004B57F2"/>
    <w:rsid w:val="004C0B01"/>
    <w:rsid w:val="004C37E6"/>
    <w:rsid w:val="004D5BA1"/>
    <w:rsid w:val="004E09D3"/>
    <w:rsid w:val="004E6F30"/>
    <w:rsid w:val="00523F93"/>
    <w:rsid w:val="00540F71"/>
    <w:rsid w:val="00545BDB"/>
    <w:rsid w:val="00547C94"/>
    <w:rsid w:val="0057686C"/>
    <w:rsid w:val="005A3DC7"/>
    <w:rsid w:val="005F2613"/>
    <w:rsid w:val="00667E40"/>
    <w:rsid w:val="006A50BC"/>
    <w:rsid w:val="006B7DEF"/>
    <w:rsid w:val="006C4514"/>
    <w:rsid w:val="007220BE"/>
    <w:rsid w:val="0072785F"/>
    <w:rsid w:val="0076339A"/>
    <w:rsid w:val="00787C68"/>
    <w:rsid w:val="007B0188"/>
    <w:rsid w:val="00806481"/>
    <w:rsid w:val="0082194D"/>
    <w:rsid w:val="00822A50"/>
    <w:rsid w:val="00841B02"/>
    <w:rsid w:val="0085770B"/>
    <w:rsid w:val="0086518F"/>
    <w:rsid w:val="008721CF"/>
    <w:rsid w:val="00872F9A"/>
    <w:rsid w:val="0087350D"/>
    <w:rsid w:val="00897054"/>
    <w:rsid w:val="008B7985"/>
    <w:rsid w:val="008E3D06"/>
    <w:rsid w:val="009012A1"/>
    <w:rsid w:val="00903E37"/>
    <w:rsid w:val="00906998"/>
    <w:rsid w:val="00930641"/>
    <w:rsid w:val="00933816"/>
    <w:rsid w:val="009A0004"/>
    <w:rsid w:val="009D2C9A"/>
    <w:rsid w:val="00A03D98"/>
    <w:rsid w:val="00A10DD8"/>
    <w:rsid w:val="00A30F5C"/>
    <w:rsid w:val="00A70950"/>
    <w:rsid w:val="00A80FD0"/>
    <w:rsid w:val="00AC2703"/>
    <w:rsid w:val="00AE1DDD"/>
    <w:rsid w:val="00B21FBD"/>
    <w:rsid w:val="00B62A9D"/>
    <w:rsid w:val="00B64DFE"/>
    <w:rsid w:val="00B91167"/>
    <w:rsid w:val="00BC4DB4"/>
    <w:rsid w:val="00BD3CB2"/>
    <w:rsid w:val="00BF2E90"/>
    <w:rsid w:val="00C26DAF"/>
    <w:rsid w:val="00C532BB"/>
    <w:rsid w:val="00C7009F"/>
    <w:rsid w:val="00C7562F"/>
    <w:rsid w:val="00C978BB"/>
    <w:rsid w:val="00CC03A1"/>
    <w:rsid w:val="00CC1081"/>
    <w:rsid w:val="00D11F72"/>
    <w:rsid w:val="00D35AC5"/>
    <w:rsid w:val="00D37DB1"/>
    <w:rsid w:val="00D460C3"/>
    <w:rsid w:val="00DB22A3"/>
    <w:rsid w:val="00DD36D6"/>
    <w:rsid w:val="00DE788A"/>
    <w:rsid w:val="00DF4B0B"/>
    <w:rsid w:val="00E51BC1"/>
    <w:rsid w:val="00E57E77"/>
    <w:rsid w:val="00E61548"/>
    <w:rsid w:val="00E647AD"/>
    <w:rsid w:val="00E7561B"/>
    <w:rsid w:val="00E9283E"/>
    <w:rsid w:val="00EA1A27"/>
    <w:rsid w:val="00EA1FA2"/>
    <w:rsid w:val="00F00079"/>
    <w:rsid w:val="00F33526"/>
    <w:rsid w:val="00F520F5"/>
    <w:rsid w:val="00F662CB"/>
    <w:rsid w:val="00F96C1D"/>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CA311"/>
  <w15:docId w15:val="{3B161CC6-6E64-4586-AE12-29ADBF6B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Title">
    <w:name w:val="Title"/>
    <w:basedOn w:val="Normal"/>
    <w:qFormat/>
    <w:pPr>
      <w:jc w:val="center"/>
    </w:pPr>
    <w:rPr>
      <w:b/>
    </w:rPr>
  </w:style>
  <w:style w:type="paragraph" w:styleId="BlockText">
    <w:name w:val="Block Text"/>
    <w:basedOn w:val="Normal"/>
    <w:pPr>
      <w:ind w:left="1800" w:righ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paragraph" w:customStyle="1" w:styleId="Default">
    <w:name w:val="Default"/>
    <w:rsid w:val="004C0B01"/>
    <w:pPr>
      <w:autoSpaceDE w:val="0"/>
      <w:autoSpaceDN w:val="0"/>
      <w:adjustRightInd w:val="0"/>
    </w:pPr>
    <w:rPr>
      <w:rFonts w:ascii="Century Gothic" w:hAnsi="Century Gothic" w:cs="Century Gothic"/>
      <w:color w:val="000000"/>
      <w:sz w:val="24"/>
      <w:szCs w:val="24"/>
    </w:rPr>
  </w:style>
  <w:style w:type="character" w:styleId="Strong">
    <w:name w:val="Strong"/>
    <w:uiPriority w:val="22"/>
    <w:qFormat/>
    <w:rsid w:val="003A0F35"/>
    <w:rPr>
      <w:b/>
      <w:bCs/>
    </w:rPr>
  </w:style>
  <w:style w:type="paragraph" w:styleId="ListParagraph">
    <w:name w:val="List Paragraph"/>
    <w:basedOn w:val="Normal"/>
    <w:uiPriority w:val="34"/>
    <w:qFormat/>
    <w:rsid w:val="007B0188"/>
    <w:pPr>
      <w:ind w:left="720"/>
      <w:contextualSpacing/>
    </w:pPr>
  </w:style>
  <w:style w:type="paragraph" w:styleId="Revision">
    <w:name w:val="Revision"/>
    <w:hidden/>
    <w:uiPriority w:val="99"/>
    <w:semiHidden/>
    <w:rsid w:val="002D15C3"/>
    <w:rPr>
      <w:sz w:val="24"/>
    </w:rPr>
  </w:style>
  <w:style w:type="character" w:styleId="CommentReference">
    <w:name w:val="annotation reference"/>
    <w:basedOn w:val="DefaultParagraphFont"/>
    <w:uiPriority w:val="99"/>
    <w:semiHidden/>
    <w:unhideWhenUsed/>
    <w:rsid w:val="00903E37"/>
    <w:rPr>
      <w:sz w:val="16"/>
      <w:szCs w:val="16"/>
    </w:rPr>
  </w:style>
  <w:style w:type="paragraph" w:styleId="CommentText">
    <w:name w:val="annotation text"/>
    <w:basedOn w:val="Normal"/>
    <w:link w:val="CommentTextChar"/>
    <w:uiPriority w:val="99"/>
    <w:unhideWhenUsed/>
    <w:rsid w:val="00903E37"/>
    <w:rPr>
      <w:sz w:val="20"/>
    </w:rPr>
  </w:style>
  <w:style w:type="character" w:customStyle="1" w:styleId="CommentTextChar">
    <w:name w:val="Comment Text Char"/>
    <w:basedOn w:val="DefaultParagraphFont"/>
    <w:link w:val="CommentText"/>
    <w:uiPriority w:val="99"/>
    <w:rsid w:val="00903E37"/>
  </w:style>
  <w:style w:type="paragraph" w:styleId="CommentSubject">
    <w:name w:val="annotation subject"/>
    <w:basedOn w:val="CommentText"/>
    <w:next w:val="CommentText"/>
    <w:link w:val="CommentSubjectChar"/>
    <w:uiPriority w:val="99"/>
    <w:semiHidden/>
    <w:unhideWhenUsed/>
    <w:rsid w:val="00903E37"/>
    <w:rPr>
      <w:b/>
      <w:bCs/>
    </w:rPr>
  </w:style>
  <w:style w:type="character" w:customStyle="1" w:styleId="CommentSubjectChar">
    <w:name w:val="Comment Subject Char"/>
    <w:basedOn w:val="CommentTextChar"/>
    <w:link w:val="CommentSubject"/>
    <w:uiPriority w:val="99"/>
    <w:semiHidden/>
    <w:rsid w:val="00903E37"/>
    <w:rPr>
      <w:b/>
      <w:bCs/>
    </w:rPr>
  </w:style>
  <w:style w:type="character" w:styleId="FollowedHyperlink">
    <w:name w:val="FollowedHyperlink"/>
    <w:basedOn w:val="DefaultParagraphFont"/>
    <w:uiPriority w:val="99"/>
    <w:semiHidden/>
    <w:unhideWhenUsed/>
    <w:rsid w:val="008B7985"/>
    <w:rPr>
      <w:color w:val="954F72" w:themeColor="followedHyperlink"/>
      <w:u w:val="single"/>
    </w:rPr>
  </w:style>
  <w:style w:type="character" w:styleId="UnresolvedMention">
    <w:name w:val="Unresolved Mention"/>
    <w:basedOn w:val="DefaultParagraphFont"/>
    <w:uiPriority w:val="99"/>
    <w:semiHidden/>
    <w:unhideWhenUsed/>
    <w:rsid w:val="008B7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50818">
      <w:bodyDiv w:val="1"/>
      <w:marLeft w:val="0"/>
      <w:marRight w:val="0"/>
      <w:marTop w:val="0"/>
      <w:marBottom w:val="0"/>
      <w:divBdr>
        <w:top w:val="none" w:sz="0" w:space="0" w:color="auto"/>
        <w:left w:val="none" w:sz="0" w:space="0" w:color="auto"/>
        <w:bottom w:val="none" w:sz="0" w:space="0" w:color="auto"/>
        <w:right w:val="none" w:sz="0" w:space="0" w:color="auto"/>
      </w:divBdr>
    </w:div>
    <w:div w:id="1181430480">
      <w:bodyDiv w:val="1"/>
      <w:marLeft w:val="0"/>
      <w:marRight w:val="0"/>
      <w:marTop w:val="0"/>
      <w:marBottom w:val="0"/>
      <w:divBdr>
        <w:top w:val="none" w:sz="0" w:space="0" w:color="auto"/>
        <w:left w:val="none" w:sz="0" w:space="0" w:color="auto"/>
        <w:bottom w:val="none" w:sz="0" w:space="0" w:color="auto"/>
        <w:right w:val="none" w:sz="0" w:space="0" w:color="auto"/>
      </w:divBdr>
    </w:div>
    <w:div w:id="18201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o.edu/facultysenate/handbook/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mo.edu/math/" TargetMode="External"/><Relationship Id="rId4" Type="http://schemas.openxmlformats.org/officeDocument/2006/relationships/settings" Target="settings.xml"/><Relationship Id="rId9" Type="http://schemas.openxmlformats.org/officeDocument/2006/relationships/hyperlink" Target="https://www.schooljobs.com/careers/semoedu/promotionaljo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E24A0-852F-41EA-BE97-A0CCA941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OF POSITION VACANCY ANNOUNCEMENT)</vt:lpstr>
    </vt:vector>
  </TitlesOfParts>
  <Company>Southeast Missouri State University</Company>
  <LinksUpToDate>false</LinksUpToDate>
  <CharactersWithSpaces>4457</CharactersWithSpaces>
  <SharedDoc>false</SharedDoc>
  <HLinks>
    <vt:vector size="18" baseType="variant">
      <vt:variant>
        <vt:i4>3997746</vt:i4>
      </vt:variant>
      <vt:variant>
        <vt:i4>6</vt:i4>
      </vt:variant>
      <vt:variant>
        <vt:i4>0</vt:i4>
      </vt:variant>
      <vt:variant>
        <vt:i4>5</vt:i4>
      </vt:variant>
      <vt:variant>
        <vt:lpwstr>https://semo.edu/math/</vt:lpwstr>
      </vt:variant>
      <vt:variant>
        <vt:lpwstr/>
      </vt:variant>
      <vt:variant>
        <vt:i4>1179688</vt:i4>
      </vt:variant>
      <vt:variant>
        <vt:i4>3</vt:i4>
      </vt:variant>
      <vt:variant>
        <vt:i4>0</vt:i4>
      </vt:variant>
      <vt:variant>
        <vt:i4>5</vt:i4>
      </vt:variant>
      <vt:variant>
        <vt:lpwstr>https://www.governmentjobs.com/js_login.cfm?&amp;TopHeader=semoedu</vt:lpwstr>
      </vt:variant>
      <vt:variant>
        <vt:lpwstr/>
      </vt:variant>
      <vt:variant>
        <vt:i4>6488172</vt:i4>
      </vt:variant>
      <vt:variant>
        <vt:i4>0</vt:i4>
      </vt:variant>
      <vt:variant>
        <vt:i4>0</vt:i4>
      </vt:variant>
      <vt:variant>
        <vt:i4>5</vt:i4>
      </vt:variant>
      <vt:variant>
        <vt:lpwstr>https://semo.edu/facultysenate/handbook/index.html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POSITION VACANCY ANNOUNCEMENT)</dc:title>
  <dc:subject/>
  <dc:creator>Lori Boyster</dc:creator>
  <cp:keywords/>
  <cp:lastModifiedBy>Seabaugh, Dana N</cp:lastModifiedBy>
  <cp:revision>2</cp:revision>
  <cp:lastPrinted>2016-08-25T20:40:00Z</cp:lastPrinted>
  <dcterms:created xsi:type="dcterms:W3CDTF">2023-05-03T14:23:00Z</dcterms:created>
  <dcterms:modified xsi:type="dcterms:W3CDTF">2023-05-03T14:23:00Z</dcterms:modified>
</cp:coreProperties>
</file>