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b w:val="1"/>
        </w:rPr>
      </w:pPr>
      <w:r w:rsidDel="00000000" w:rsidR="00000000" w:rsidRPr="00000000">
        <w:rPr>
          <w:b w:val="1"/>
        </w:rPr>
        <w:drawing>
          <wp:inline distB="0" distT="0" distL="0" distR="0">
            <wp:extent cx="4179430" cy="2787180"/>
            <wp:effectExtent b="0" l="0" r="0" t="0"/>
            <wp:docPr descr="A park with a brick walkway and a building&#10;&#10;Description automatically generated with medium confidence" id="4" name="image1.jpg"/>
            <a:graphic>
              <a:graphicData uri="http://schemas.openxmlformats.org/drawingml/2006/picture">
                <pic:pic>
                  <pic:nvPicPr>
                    <pic:cNvPr descr="A park with a brick walkway and a building&#10;&#10;Description automatically generated with medium confidence" id="0" name="image1.jpg"/>
                    <pic:cNvPicPr preferRelativeResize="0"/>
                  </pic:nvPicPr>
                  <pic:blipFill>
                    <a:blip r:embed="rId7"/>
                    <a:srcRect b="0" l="0" r="0" t="0"/>
                    <a:stretch>
                      <a:fillRect/>
                    </a:stretch>
                  </pic:blipFill>
                  <pic:spPr>
                    <a:xfrm>
                      <a:off x="0" y="0"/>
                      <a:ext cx="4179430" cy="27871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03">
      <w:pPr>
        <w:rPr>
          <w:rFonts w:ascii="Garamond" w:cs="Garamond" w:eastAsia="Garamond" w:hAnsi="Garamond"/>
          <w:b w:val="1"/>
        </w:rPr>
      </w:pPr>
      <w:r w:rsidDel="00000000" w:rsidR="00000000" w:rsidRPr="00000000">
        <w:rPr>
          <w:rFonts w:ascii="Garamond" w:cs="Garamond" w:eastAsia="Garamond" w:hAnsi="Garamond"/>
          <w:b w:val="1"/>
          <w:rtl w:val="0"/>
        </w:rPr>
        <w:t xml:space="preserve">Long Version Copy  - Math MSLL CT Search</w:t>
      </w:r>
    </w:p>
    <w:p w:rsidR="00000000" w:rsidDel="00000000" w:rsidP="00000000" w:rsidRDefault="00000000" w:rsidRPr="00000000" w14:paraId="00000004">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before="79" w:lineRule="auto"/>
        <w:ind w:left="100" w:right="780" w:firstLine="0"/>
        <w:rPr>
          <w:rFonts w:ascii="Garamond" w:cs="Garamond" w:eastAsia="Garamond" w:hAnsi="Garamond"/>
        </w:rPr>
      </w:pPr>
      <w:r w:rsidDel="00000000" w:rsidR="00000000" w:rsidRPr="00000000">
        <w:rPr>
          <w:rFonts w:ascii="Garamond" w:cs="Garamond" w:eastAsia="Garamond" w:hAnsi="Garamond"/>
          <w:b w:val="1"/>
          <w:color w:val="000000"/>
          <w:rtl w:val="0"/>
        </w:rPr>
        <w:t xml:space="preserve">Continuing-track Assistant Professor, Department of Mathematical Sciences, College of Arts &amp; Sciences, University of Delaware</w:t>
      </w:r>
      <w:r w:rsidDel="00000000" w:rsidR="00000000" w:rsidRPr="00000000">
        <w:rPr>
          <w:rtl w:val="0"/>
        </w:rPr>
      </w:r>
    </w:p>
    <w:p w:rsidR="00000000" w:rsidDel="00000000" w:rsidP="00000000" w:rsidRDefault="00000000" w:rsidRPr="00000000" w14:paraId="00000006">
      <w:pPr>
        <w:rPr>
          <w:rFonts w:ascii="Garamond" w:cs="Garamond" w:eastAsia="Garamond" w:hAnsi="Garamond"/>
        </w:rPr>
      </w:pPr>
      <w:r w:rsidDel="00000000" w:rsidR="00000000" w:rsidRPr="00000000">
        <w:rPr>
          <w:rtl w:val="0"/>
        </w:rPr>
      </w:r>
    </w:p>
    <w:p w:rsidR="00000000" w:rsidDel="00000000" w:rsidP="00000000" w:rsidRDefault="00000000" w:rsidRPr="00000000" w14:paraId="00000007">
      <w:pPr>
        <w:ind w:left="100" w:right="150" w:firstLine="0"/>
        <w:rPr>
          <w:rFonts w:ascii="Garamond" w:cs="Garamond" w:eastAsia="Garamond" w:hAnsi="Garamond"/>
        </w:rPr>
      </w:pPr>
      <w:r w:rsidDel="00000000" w:rsidR="00000000" w:rsidRPr="00000000">
        <w:rPr>
          <w:rFonts w:ascii="Garamond" w:cs="Garamond" w:eastAsia="Garamond" w:hAnsi="Garamond"/>
          <w:color w:val="000000"/>
          <w:rtl w:val="0"/>
        </w:rPr>
        <w:t xml:space="preserve">The Department of Mathematical Sciences at the University of Delaware invites applications for a Continuing Track faculty member at the rank of Assistant Professor. The successful candidate will teach in our innovative Mathematical Sciences Learning Laboratory (MSLL). MSLL employs active learning and other evidence-based</w:t>
      </w:r>
      <w:r w:rsidDel="00000000" w:rsidR="00000000" w:rsidRPr="00000000">
        <w:rPr>
          <w:rFonts w:ascii="Garamond" w:cs="Garamond" w:eastAsia="Garamond" w:hAnsi="Garamond"/>
          <w:color w:val="000000"/>
          <w:highlight w:val="white"/>
          <w:rtl w:val="0"/>
        </w:rPr>
        <w:t xml:space="preserve"> teaching strategies, principles of continuous improvement, learning technologies, and a collaborative instructional team with the goal of studying and improving teaching and learning in introductory college mathematics courses (e.g., Algebra, Pre-Calculus, Calculus).</w:t>
      </w:r>
      <w:r w:rsidDel="00000000" w:rsidR="00000000" w:rsidRPr="00000000">
        <w:rPr>
          <w:rtl w:val="0"/>
        </w:rPr>
      </w:r>
    </w:p>
    <w:p w:rsidR="00000000" w:rsidDel="00000000" w:rsidP="00000000" w:rsidRDefault="00000000" w:rsidRPr="00000000" w14:paraId="00000008">
      <w:pPr>
        <w:rPr>
          <w:rFonts w:ascii="Garamond" w:cs="Garamond" w:eastAsia="Garamond" w:hAnsi="Garamond"/>
        </w:rPr>
      </w:pPr>
      <w:r w:rsidDel="00000000" w:rsidR="00000000" w:rsidRPr="00000000">
        <w:rPr>
          <w:rtl w:val="0"/>
        </w:rPr>
      </w:r>
    </w:p>
    <w:p w:rsidR="00000000" w:rsidDel="00000000" w:rsidP="00000000" w:rsidRDefault="00000000" w:rsidRPr="00000000" w14:paraId="00000009">
      <w:pPr>
        <w:ind w:left="100" w:right="150" w:firstLine="0"/>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The anticipated workload for this position is primarily devoted to teaching (9-12 credits per semester), with the remainder devoted to service and scholarship. The Continuing Track (CT) is UD’s permanent, non-tenure track career path. CT faculty enjoy contracts that increase in length over time, as well as many of the same benefits as tenure-track and tenured faculty, such as identical titles, a parallel promotion track, sabbaticals, and shared faculty governance. For more details about the CT path, see </w:t>
      </w:r>
      <w:hyperlink r:id="rId8">
        <w:r w:rsidDel="00000000" w:rsidR="00000000" w:rsidRPr="00000000">
          <w:rPr>
            <w:rFonts w:ascii="Garamond" w:cs="Garamond" w:eastAsia="Garamond" w:hAnsi="Garamond"/>
            <w:color w:val="1155cc"/>
            <w:highlight w:val="white"/>
            <w:u w:val="single"/>
            <w:rtl w:val="0"/>
          </w:rPr>
          <w:t xml:space="preserve">https://sites.udel.edu/ctcaucus/why-do-you-want-to-be-a-ct-faculty-at-ud/</w:t>
        </w:r>
      </w:hyperlink>
      <w:r w:rsidDel="00000000" w:rsidR="00000000" w:rsidRPr="00000000">
        <w:rPr>
          <w:rFonts w:ascii="Garamond" w:cs="Garamond" w:eastAsia="Garamond" w:hAnsi="Garamond"/>
          <w:color w:val="000000"/>
          <w:highlight w:val="white"/>
          <w:rtl w:val="0"/>
        </w:rPr>
        <w:t xml:space="preserve"> </w:t>
      </w:r>
      <w:r w:rsidDel="00000000" w:rsidR="00000000" w:rsidRPr="00000000">
        <w:rPr>
          <w:rtl w:val="0"/>
        </w:rPr>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ind w:left="100" w:right="150" w:firstLine="0"/>
        <w:rPr>
          <w:rFonts w:ascii="Garamond" w:cs="Garamond" w:eastAsia="Garamond" w:hAnsi="Garamond"/>
        </w:rPr>
      </w:pPr>
      <w:r w:rsidDel="00000000" w:rsidR="00000000" w:rsidRPr="00000000">
        <w:rPr>
          <w:rFonts w:ascii="Garamond" w:cs="Garamond" w:eastAsia="Garamond" w:hAnsi="Garamond"/>
          <w:b w:val="1"/>
          <w:color w:val="000000"/>
          <w:highlight w:val="white"/>
          <w:rtl w:val="0"/>
        </w:rPr>
        <w:t xml:space="preserve">QUALIFICATIONS AND RESPONSIBILITIES</w:t>
      </w:r>
      <w:r w:rsidDel="00000000" w:rsidR="00000000" w:rsidRPr="00000000">
        <w:rPr>
          <w:rFonts w:ascii="Garamond" w:cs="Garamond" w:eastAsia="Garamond" w:hAnsi="Garamond"/>
          <w:color w:val="000000"/>
          <w:highlight w:val="white"/>
          <w:rtl w:val="0"/>
        </w:rPr>
        <w:t xml:space="preserve">: </w:t>
      </w:r>
      <w:r w:rsidDel="00000000" w:rsidR="00000000" w:rsidRPr="00000000">
        <w:rPr>
          <w:rFonts w:ascii="Garamond" w:cs="Garamond" w:eastAsia="Garamond" w:hAnsi="Garamond"/>
          <w:color w:val="000000"/>
          <w:rtl w:val="0"/>
        </w:rPr>
        <w:t xml:space="preserve">We are seeking exceptional candidates committed to teaching introductory mathematics courses using ac</w:t>
      </w:r>
      <w:r w:rsidDel="00000000" w:rsidR="00000000" w:rsidRPr="00000000">
        <w:rPr>
          <w:rFonts w:ascii="Garamond" w:cs="Garamond" w:eastAsia="Garamond" w:hAnsi="Garamond"/>
          <w:color w:val="000000"/>
          <w:highlight w:val="white"/>
          <w:rtl w:val="0"/>
        </w:rPr>
        <w:t xml:space="preserve">tive learning strategies and collaborating with teams of instructors to teach, study, and improve introductory college mathematics courses. </w:t>
      </w:r>
      <w:r w:rsidDel="00000000" w:rsidR="00000000" w:rsidRPr="00000000">
        <w:rPr>
          <w:rtl w:val="0"/>
        </w:rPr>
      </w:r>
    </w:p>
    <w:p w:rsidR="00000000" w:rsidDel="00000000" w:rsidP="00000000" w:rsidRDefault="00000000" w:rsidRPr="00000000" w14:paraId="0000000C">
      <w:pPr>
        <w:rPr>
          <w:rFonts w:ascii="Garamond" w:cs="Garamond" w:eastAsia="Garamond" w:hAnsi="Garamond"/>
        </w:rPr>
      </w:pPr>
      <w:r w:rsidDel="00000000" w:rsidR="00000000" w:rsidRPr="00000000">
        <w:rPr>
          <w:rtl w:val="0"/>
        </w:rPr>
      </w:r>
    </w:p>
    <w:p w:rsidR="00000000" w:rsidDel="00000000" w:rsidP="00000000" w:rsidRDefault="00000000" w:rsidRPr="00000000" w14:paraId="0000000D">
      <w:pPr>
        <w:ind w:left="100" w:right="150" w:firstLine="0"/>
        <w:rPr>
          <w:rFonts w:ascii="Garamond" w:cs="Garamond" w:eastAsia="Garamond" w:hAnsi="Garamond"/>
        </w:rPr>
      </w:pPr>
      <w:r w:rsidDel="00000000" w:rsidR="00000000" w:rsidRPr="00000000">
        <w:rPr>
          <w:rFonts w:ascii="Garamond" w:cs="Garamond" w:eastAsia="Garamond" w:hAnsi="Garamond"/>
          <w:color w:val="000000"/>
          <w:rtl w:val="0"/>
        </w:rPr>
        <w:t xml:space="preserve">Minimum requirements:</w:t>
      </w:r>
      <w:r w:rsidDel="00000000" w:rsidR="00000000" w:rsidRPr="00000000">
        <w:rPr>
          <w:rtl w:val="0"/>
        </w:rPr>
      </w:r>
    </w:p>
    <w:p w:rsidR="00000000" w:rsidDel="00000000" w:rsidP="00000000" w:rsidRDefault="00000000" w:rsidRPr="00000000" w14:paraId="0000000E">
      <w:pPr>
        <w:numPr>
          <w:ilvl w:val="0"/>
          <w:numId w:val="2"/>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 </w:t>
      </w:r>
      <w:r w:rsidDel="00000000" w:rsidR="00000000" w:rsidRPr="00000000">
        <w:rPr>
          <w:rFonts w:ascii="Garamond" w:cs="Garamond" w:eastAsia="Garamond" w:hAnsi="Garamond"/>
          <w:color w:val="000000"/>
          <w:highlight w:val="white"/>
          <w:rtl w:val="0"/>
        </w:rPr>
        <w:t xml:space="preserve">doctoral degree in mathematics, mathematics education, or a related field; for candidates whose doctoral degree is not in mathematics, a minimum of 12 credits in graduate-level mathematics is required;</w:t>
      </w:r>
      <w:r w:rsidDel="00000000" w:rsidR="00000000" w:rsidRPr="00000000">
        <w:rPr>
          <w:rtl w:val="0"/>
        </w:rPr>
      </w:r>
    </w:p>
    <w:p w:rsidR="00000000" w:rsidDel="00000000" w:rsidP="00000000" w:rsidRDefault="00000000" w:rsidRPr="00000000" w14:paraId="0000000F">
      <w:pPr>
        <w:numPr>
          <w:ilvl w:val="0"/>
          <w:numId w:val="2"/>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Strong commitment to and potential for excellence in teaching;</w:t>
      </w:r>
      <w:r w:rsidDel="00000000" w:rsidR="00000000" w:rsidRPr="00000000">
        <w:rPr>
          <w:rtl w:val="0"/>
        </w:rPr>
      </w:r>
    </w:p>
    <w:p w:rsidR="00000000" w:rsidDel="00000000" w:rsidP="00000000" w:rsidRDefault="00000000" w:rsidRPr="00000000" w14:paraId="00000010">
      <w:pPr>
        <w:numPr>
          <w:ilvl w:val="0"/>
          <w:numId w:val="2"/>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Strong interest in teaching introductory college mathematics courses (e.g., Algebra, Pre-Calculus, Calculus);</w:t>
      </w:r>
      <w:r w:rsidDel="00000000" w:rsidR="00000000" w:rsidRPr="00000000">
        <w:rPr>
          <w:rtl w:val="0"/>
        </w:rPr>
      </w:r>
    </w:p>
    <w:p w:rsidR="00000000" w:rsidDel="00000000" w:rsidP="00000000" w:rsidRDefault="00000000" w:rsidRPr="00000000" w14:paraId="00000011">
      <w:pPr>
        <w:numPr>
          <w:ilvl w:val="0"/>
          <w:numId w:val="2"/>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Strong commitment to teaching a diverse population of students;</w:t>
      </w:r>
      <w:r w:rsidDel="00000000" w:rsidR="00000000" w:rsidRPr="00000000">
        <w:rPr>
          <w:rtl w:val="0"/>
        </w:rPr>
      </w:r>
    </w:p>
    <w:p w:rsidR="00000000" w:rsidDel="00000000" w:rsidP="00000000" w:rsidRDefault="00000000" w:rsidRPr="00000000" w14:paraId="00000012">
      <w:pPr>
        <w:numPr>
          <w:ilvl w:val="0"/>
          <w:numId w:val="2"/>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Strong commitment to, and knowledge of, active learning strategies and other evidence-based pedagogical practices; </w:t>
      </w:r>
      <w:r w:rsidDel="00000000" w:rsidR="00000000" w:rsidRPr="00000000">
        <w:rPr>
          <w:rtl w:val="0"/>
        </w:rPr>
      </w:r>
    </w:p>
    <w:p w:rsidR="00000000" w:rsidDel="00000000" w:rsidP="00000000" w:rsidRDefault="00000000" w:rsidRPr="00000000" w14:paraId="00000013">
      <w:pPr>
        <w:numPr>
          <w:ilvl w:val="0"/>
          <w:numId w:val="2"/>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Strong commitment to collaborating with other instructors to study and improve teaching and learning in MSLL courses; </w:t>
      </w:r>
    </w:p>
    <w:p w:rsidR="00000000" w:rsidDel="00000000" w:rsidP="00000000" w:rsidRDefault="00000000" w:rsidRPr="00000000" w14:paraId="00000014">
      <w:pPr>
        <w:numPr>
          <w:ilvl w:val="0"/>
          <w:numId w:val="2"/>
        </w:numPr>
        <w:shd w:fill="ffffff" w:val="clear"/>
        <w:spacing w:after="200" w:lineRule="auto"/>
        <w:ind w:left="72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A record of scholarship and plans for continued engagement in the scholarship of teaching and learning or other research areas.</w:t>
      </w:r>
      <w:r w:rsidDel="00000000" w:rsidR="00000000" w:rsidRPr="00000000">
        <w:rPr>
          <w:rtl w:val="0"/>
        </w:rPr>
      </w:r>
    </w:p>
    <w:p w:rsidR="00000000" w:rsidDel="00000000" w:rsidP="00000000" w:rsidRDefault="00000000" w:rsidRPr="00000000" w14:paraId="00000015">
      <w:pPr>
        <w:ind w:left="100" w:right="150" w:firstLine="0"/>
        <w:rPr>
          <w:rFonts w:ascii="Garamond" w:cs="Garamond" w:eastAsia="Garamond" w:hAnsi="Garamond"/>
        </w:rPr>
      </w:pPr>
      <w:r w:rsidDel="00000000" w:rsidR="00000000" w:rsidRPr="00000000">
        <w:rPr>
          <w:rFonts w:ascii="Garamond" w:cs="Garamond" w:eastAsia="Garamond" w:hAnsi="Garamond"/>
          <w:color w:val="000000"/>
          <w:rtl w:val="0"/>
        </w:rPr>
        <w:t xml:space="preserve">Preferred qualifications:</w:t>
      </w:r>
      <w:r w:rsidDel="00000000" w:rsidR="00000000" w:rsidRPr="00000000">
        <w:rPr>
          <w:rtl w:val="0"/>
        </w:rPr>
      </w:r>
    </w:p>
    <w:p w:rsidR="00000000" w:rsidDel="00000000" w:rsidP="00000000" w:rsidRDefault="00000000" w:rsidRPr="00000000" w14:paraId="00000016">
      <w:pPr>
        <w:numPr>
          <w:ilvl w:val="0"/>
          <w:numId w:val="3"/>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Experience as the instructor of record for introductory college mathematics courses;</w:t>
      </w:r>
      <w:r w:rsidDel="00000000" w:rsidR="00000000" w:rsidRPr="00000000">
        <w:rPr>
          <w:rtl w:val="0"/>
        </w:rPr>
      </w:r>
    </w:p>
    <w:p w:rsidR="00000000" w:rsidDel="00000000" w:rsidP="00000000" w:rsidRDefault="00000000" w:rsidRPr="00000000" w14:paraId="00000017">
      <w:pPr>
        <w:numPr>
          <w:ilvl w:val="0"/>
          <w:numId w:val="3"/>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Experience and/or ability to teach mathematics to a diverse student population;</w:t>
      </w:r>
      <w:r w:rsidDel="00000000" w:rsidR="00000000" w:rsidRPr="00000000">
        <w:rPr>
          <w:rtl w:val="0"/>
        </w:rPr>
      </w:r>
    </w:p>
    <w:p w:rsidR="00000000" w:rsidDel="00000000" w:rsidP="00000000" w:rsidRDefault="00000000" w:rsidRPr="00000000" w14:paraId="00000018">
      <w:pPr>
        <w:numPr>
          <w:ilvl w:val="0"/>
          <w:numId w:val="3"/>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Experience collaborating with other instructors to improve teaching and learning; </w:t>
      </w:r>
      <w:r w:rsidDel="00000000" w:rsidR="00000000" w:rsidRPr="00000000">
        <w:rPr>
          <w:rtl w:val="0"/>
        </w:rPr>
      </w:r>
    </w:p>
    <w:p w:rsidR="00000000" w:rsidDel="00000000" w:rsidP="00000000" w:rsidRDefault="00000000" w:rsidRPr="00000000" w14:paraId="00000019">
      <w:pPr>
        <w:numPr>
          <w:ilvl w:val="0"/>
          <w:numId w:val="3"/>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Experience using active learning and other evidence-based teaching strategies, as well as technology, to support student learning; </w:t>
      </w:r>
      <w:r w:rsidDel="00000000" w:rsidR="00000000" w:rsidRPr="00000000">
        <w:rPr>
          <w:rtl w:val="0"/>
        </w:rPr>
      </w:r>
    </w:p>
    <w:p w:rsidR="00000000" w:rsidDel="00000000" w:rsidP="00000000" w:rsidRDefault="00000000" w:rsidRPr="00000000" w14:paraId="0000001A">
      <w:pPr>
        <w:numPr>
          <w:ilvl w:val="0"/>
          <w:numId w:val="3"/>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Experience conducting scholarship of teaching and learning.</w:t>
      </w:r>
      <w:r w:rsidDel="00000000" w:rsidR="00000000" w:rsidRPr="00000000">
        <w:rPr>
          <w:rtl w:val="0"/>
        </w:rPr>
      </w:r>
    </w:p>
    <w:p w:rsidR="00000000" w:rsidDel="00000000" w:rsidP="00000000" w:rsidRDefault="00000000" w:rsidRPr="00000000" w14:paraId="0000001B">
      <w:pPr>
        <w:rPr>
          <w:rFonts w:ascii="Garamond" w:cs="Garamond" w:eastAsia="Garamond" w:hAnsi="Garamond"/>
        </w:rPr>
      </w:pPr>
      <w:r w:rsidDel="00000000" w:rsidR="00000000" w:rsidRPr="00000000">
        <w:rPr>
          <w:rtl w:val="0"/>
        </w:rPr>
      </w:r>
    </w:p>
    <w:p w:rsidR="00000000" w:rsidDel="00000000" w:rsidP="00000000" w:rsidRDefault="00000000" w:rsidRPr="00000000" w14:paraId="0000001C">
      <w:pPr>
        <w:ind w:left="100" w:right="147" w:firstLine="0"/>
        <w:rPr>
          <w:rFonts w:ascii="Garamond" w:cs="Garamond" w:eastAsia="Garamond" w:hAnsi="Garamond"/>
        </w:rPr>
      </w:pPr>
      <w:r w:rsidDel="00000000" w:rsidR="00000000" w:rsidRPr="00000000">
        <w:rPr>
          <w:rFonts w:ascii="Garamond" w:cs="Garamond" w:eastAsia="Garamond" w:hAnsi="Garamond"/>
          <w:color w:val="000000"/>
          <w:rtl w:val="0"/>
        </w:rPr>
        <w:t xml:space="preserve">Primary responsibilities will include:</w:t>
      </w:r>
      <w:r w:rsidDel="00000000" w:rsidR="00000000" w:rsidRPr="00000000">
        <w:rPr>
          <w:rtl w:val="0"/>
        </w:rPr>
      </w:r>
    </w:p>
    <w:p w:rsidR="00000000" w:rsidDel="00000000" w:rsidP="00000000" w:rsidRDefault="00000000" w:rsidRPr="00000000" w14:paraId="0000001D">
      <w:pPr>
        <w:numPr>
          <w:ilvl w:val="0"/>
          <w:numId w:val="4"/>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Teaching introductory mathematics courses (e.g., Algebra, Pre-Calculus, Calculus);</w:t>
      </w:r>
    </w:p>
    <w:p w:rsidR="00000000" w:rsidDel="00000000" w:rsidP="00000000" w:rsidRDefault="00000000" w:rsidRPr="00000000" w14:paraId="0000001E">
      <w:pPr>
        <w:numPr>
          <w:ilvl w:val="0"/>
          <w:numId w:val="4"/>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Implementing, studying, and refining shared curricula for introductory mathematics courses; and</w:t>
      </w:r>
    </w:p>
    <w:p w:rsidR="00000000" w:rsidDel="00000000" w:rsidP="00000000" w:rsidRDefault="00000000" w:rsidRPr="00000000" w14:paraId="0000001F">
      <w:pPr>
        <w:numPr>
          <w:ilvl w:val="0"/>
          <w:numId w:val="4"/>
        </w:numPr>
        <w:ind w:left="720" w:right="147"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Collaborating closely with a team of instructors to study and improve teaching. </w:t>
      </w:r>
    </w:p>
    <w:p w:rsidR="00000000" w:rsidDel="00000000" w:rsidP="00000000" w:rsidRDefault="00000000" w:rsidRPr="00000000" w14:paraId="00000020">
      <w:pPr>
        <w:rPr>
          <w:rFonts w:ascii="Garamond" w:cs="Garamond" w:eastAsia="Garamond" w:hAnsi="Garamond"/>
        </w:rPr>
      </w:pPr>
      <w:r w:rsidDel="00000000" w:rsidR="00000000" w:rsidRPr="00000000">
        <w:rPr>
          <w:rtl w:val="0"/>
        </w:rPr>
      </w:r>
    </w:p>
    <w:p w:rsidR="00000000" w:rsidDel="00000000" w:rsidP="00000000" w:rsidRDefault="00000000" w:rsidRPr="00000000" w14:paraId="00000021">
      <w:pPr>
        <w:ind w:left="100" w:right="117" w:firstLine="0"/>
        <w:rPr>
          <w:rFonts w:ascii="Garamond" w:cs="Garamond" w:eastAsia="Garamond" w:hAnsi="Garamond"/>
        </w:rPr>
      </w:pPr>
      <w:r w:rsidDel="00000000" w:rsidR="00000000" w:rsidRPr="00000000">
        <w:rPr>
          <w:rFonts w:ascii="Garamond" w:cs="Garamond" w:eastAsia="Garamond" w:hAnsi="Garamond"/>
          <w:b w:val="1"/>
          <w:color w:val="000000"/>
          <w:highlight w:val="white"/>
          <w:rtl w:val="0"/>
        </w:rPr>
        <w:t xml:space="preserve">MATHEMATICAL SCIENCES AT UD</w:t>
      </w:r>
      <w:r w:rsidDel="00000000" w:rsidR="00000000" w:rsidRPr="00000000">
        <w:rPr>
          <w:rFonts w:ascii="Garamond" w:cs="Garamond" w:eastAsia="Garamond" w:hAnsi="Garamond"/>
          <w:color w:val="000000"/>
          <w:highlight w:val="white"/>
          <w:rtl w:val="0"/>
        </w:rPr>
        <w:t xml:space="preserve">: The </w:t>
      </w:r>
      <w:hyperlink r:id="rId9">
        <w:r w:rsidDel="00000000" w:rsidR="00000000" w:rsidRPr="00000000">
          <w:rPr>
            <w:rFonts w:ascii="Garamond" w:cs="Garamond" w:eastAsia="Garamond" w:hAnsi="Garamond"/>
            <w:color w:val="0000ff"/>
            <w:highlight w:val="white"/>
            <w:u w:val="single"/>
            <w:rtl w:val="0"/>
          </w:rPr>
          <w:t xml:space="preserve">Department of Mathematical Sciences</w:t>
        </w:r>
      </w:hyperlink>
      <w:r w:rsidDel="00000000" w:rsidR="00000000" w:rsidRPr="00000000">
        <w:rPr>
          <w:rFonts w:ascii="Garamond" w:cs="Garamond" w:eastAsia="Garamond" w:hAnsi="Garamond"/>
          <w:color w:val="000000"/>
          <w:highlight w:val="white"/>
          <w:rtl w:val="0"/>
        </w:rPr>
        <w:t xml:space="preserve"> at the University of Delaware is within the College of Arts and Sciences.  The department strives to create a diverse and inclusive environment in the workplace. The department has about 50 faculty members in mathematics, applied mathematics, and mathematics education and offers BA, BS, MS, and PhD degrees in a variety of areas. The department averages about $1 million in external research funding each year. </w:t>
      </w:r>
      <w:r w:rsidDel="00000000" w:rsidR="00000000" w:rsidRPr="00000000">
        <w:rPr>
          <w:rtl w:val="0"/>
        </w:rPr>
      </w:r>
    </w:p>
    <w:p w:rsidR="00000000" w:rsidDel="00000000" w:rsidP="00000000" w:rsidRDefault="00000000" w:rsidRPr="00000000" w14:paraId="00000022">
      <w:pPr>
        <w:rPr>
          <w:rFonts w:ascii="Garamond" w:cs="Garamond" w:eastAsia="Garamond" w:hAnsi="Garamond"/>
        </w:rPr>
      </w:pPr>
      <w:r w:rsidDel="00000000" w:rsidR="00000000" w:rsidRPr="00000000">
        <w:rPr>
          <w:rtl w:val="0"/>
        </w:rPr>
      </w:r>
    </w:p>
    <w:p w:rsidR="00000000" w:rsidDel="00000000" w:rsidP="00000000" w:rsidRDefault="00000000" w:rsidRPr="00000000" w14:paraId="00000023">
      <w:pPr>
        <w:ind w:left="100" w:right="150" w:firstLine="0"/>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The </w:t>
      </w:r>
      <w:hyperlink r:id="rId10">
        <w:r w:rsidDel="00000000" w:rsidR="00000000" w:rsidRPr="00000000">
          <w:rPr>
            <w:rFonts w:ascii="Garamond" w:cs="Garamond" w:eastAsia="Garamond" w:hAnsi="Garamond"/>
            <w:color w:val="0000ff"/>
            <w:u w:val="single"/>
            <w:rtl w:val="0"/>
          </w:rPr>
          <w:t xml:space="preserve">College of Arts and Sciences</w:t>
        </w:r>
      </w:hyperlink>
      <w:r w:rsidDel="00000000" w:rsidR="00000000" w:rsidRPr="00000000">
        <w:rPr>
          <w:rFonts w:ascii="Garamond" w:cs="Garamond" w:eastAsia="Garamond" w:hAnsi="Garamond"/>
          <w:color w:val="000000"/>
          <w:highlight w:val="white"/>
          <w:rtl w:val="0"/>
        </w:rPr>
        <w:t xml:space="preserve"> (CAS) at the University of Delaware offers exceptional educational experiences including integrated instruction, research, and public engagement. With 24 academic departments and more than 25 centers, programs, and institutes, the College serves almost 7,000 undergraduate students and over 1,000 graduate students with CAS majors, as well as every single University student through foundational course work. The College has 600 faculty members, emphasizes the enduring value of an arts and science education, and shares a deep commitment to excellence in scholarship and all forms of creative and intellectual expression. The College has departments in the arts, humanities, social sciences and natural sciences, and features outstanding research and teaching facilities. Faculty and staff encourage and support innovative interdisciplinary collaborations and students engage local, national, and global audiences through research and creative activity. With annual research expenditures of approximately $38 million and growing, the College currently houses several large, interdisciplinary grants with significant funding from the NIH and NSF.</w:t>
      </w:r>
      <w:r w:rsidDel="00000000" w:rsidR="00000000" w:rsidRPr="00000000">
        <w:rPr>
          <w:rtl w:val="0"/>
        </w:rPr>
      </w:r>
    </w:p>
    <w:p w:rsidR="00000000" w:rsidDel="00000000" w:rsidP="00000000" w:rsidRDefault="00000000" w:rsidRPr="00000000" w14:paraId="00000024">
      <w:pPr>
        <w:rPr>
          <w:rFonts w:ascii="Garamond" w:cs="Garamond" w:eastAsia="Garamond" w:hAnsi="Garamond"/>
        </w:rPr>
      </w:pPr>
      <w:r w:rsidDel="00000000" w:rsidR="00000000" w:rsidRPr="00000000">
        <w:rPr>
          <w:rtl w:val="0"/>
        </w:rPr>
      </w:r>
    </w:p>
    <w:p w:rsidR="00000000" w:rsidDel="00000000" w:rsidP="00000000" w:rsidRDefault="00000000" w:rsidRPr="00000000" w14:paraId="00000025">
      <w:pPr>
        <w:ind w:left="100" w:right="150" w:firstLine="0"/>
        <w:rPr>
          <w:rFonts w:ascii="Garamond" w:cs="Garamond" w:eastAsia="Garamond" w:hAnsi="Garamond"/>
        </w:rPr>
      </w:pPr>
      <w:r w:rsidDel="00000000" w:rsidR="00000000" w:rsidRPr="00000000">
        <w:rPr>
          <w:rFonts w:ascii="Garamond" w:cs="Garamond" w:eastAsia="Garamond" w:hAnsi="Garamond"/>
          <w:color w:val="000000"/>
          <w:rtl w:val="0"/>
        </w:rPr>
        <w:t xml:space="preserve">The </w:t>
      </w:r>
      <w:hyperlink r:id="rId11">
        <w:r w:rsidDel="00000000" w:rsidR="00000000" w:rsidRPr="00000000">
          <w:rPr>
            <w:rFonts w:ascii="Garamond" w:cs="Garamond" w:eastAsia="Garamond" w:hAnsi="Garamond"/>
            <w:color w:val="0000ff"/>
            <w:u w:val="single"/>
            <w:rtl w:val="0"/>
          </w:rPr>
          <w:t xml:space="preserve">University of Delaware</w:t>
        </w:r>
      </w:hyperlink>
      <w:r w:rsidDel="00000000" w:rsidR="00000000" w:rsidRPr="00000000">
        <w:rPr>
          <w:rFonts w:ascii="Garamond" w:cs="Garamond" w:eastAsia="Garamond" w:hAnsi="Garamond"/>
          <w:color w:val="000000"/>
          <w:rtl w:val="0"/>
        </w:rPr>
        <w:t xml:space="preserve"> is one of t</w:t>
      </w:r>
      <w:r w:rsidDel="00000000" w:rsidR="00000000" w:rsidRPr="00000000">
        <w:rPr>
          <w:rFonts w:ascii="Garamond" w:cs="Garamond" w:eastAsia="Garamond" w:hAnsi="Garamond"/>
          <w:color w:val="000000"/>
          <w:highlight w:val="white"/>
          <w:rtl w:val="0"/>
        </w:rPr>
        <w:t xml:space="preserve">he nation’s oldest institutions of higher education, combining tradition and innovation. The university recognizes and</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values the importance of diversity and inclusion in enriching the experience of its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employees and in supporting its academic mission.  We are committed to attracting and</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retaining employees with varying identities and backgrounds, and we strongly</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encourage applications from educators from under-represented groups. UD provides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equal access to and opportunity in its programs, facilities, and employment without</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regard to race, color, creed, religion, national origin, gender, age, marital status,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disability, public assistance status, veteran status, sexual orientation, gender identity, or</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highlight w:val="white"/>
          <w:rtl w:val="0"/>
        </w:rPr>
        <w:t xml:space="preserve">gender expression.</w:t>
      </w:r>
      <w:r w:rsidDel="00000000" w:rsidR="00000000" w:rsidRPr="00000000">
        <w:rPr>
          <w:rtl w:val="0"/>
        </w:rPr>
      </w:r>
    </w:p>
    <w:p w:rsidR="00000000" w:rsidDel="00000000" w:rsidP="00000000" w:rsidRDefault="00000000" w:rsidRPr="00000000" w14:paraId="00000026">
      <w:pPr>
        <w:rPr>
          <w:rFonts w:ascii="Garamond" w:cs="Garamond" w:eastAsia="Garamond" w:hAnsi="Garamond"/>
        </w:rPr>
      </w:pPr>
      <w:r w:rsidDel="00000000" w:rsidR="00000000" w:rsidRPr="00000000">
        <w:rPr>
          <w:rtl w:val="0"/>
        </w:rPr>
      </w:r>
    </w:p>
    <w:p w:rsidR="00000000" w:rsidDel="00000000" w:rsidP="00000000" w:rsidRDefault="00000000" w:rsidRPr="00000000" w14:paraId="00000027">
      <w:pPr>
        <w:ind w:left="100" w:right="150" w:firstLine="0"/>
        <w:rPr>
          <w:rFonts w:ascii="Garamond" w:cs="Garamond" w:eastAsia="Garamond" w:hAnsi="Garamond"/>
        </w:rPr>
      </w:pPr>
      <w:r w:rsidDel="00000000" w:rsidR="00000000" w:rsidRPr="00000000">
        <w:rPr>
          <w:rFonts w:ascii="Garamond" w:cs="Garamond" w:eastAsia="Garamond" w:hAnsi="Garamond"/>
          <w:b w:val="1"/>
          <w:color w:val="000000"/>
          <w:highlight w:val="white"/>
          <w:rtl w:val="0"/>
        </w:rPr>
        <w:t xml:space="preserve">TO APPLY</w:t>
      </w:r>
      <w:r w:rsidDel="00000000" w:rsidR="00000000" w:rsidRPr="00000000">
        <w:rPr>
          <w:rFonts w:ascii="Garamond" w:cs="Garamond" w:eastAsia="Garamond" w:hAnsi="Garamond"/>
          <w:color w:val="000000"/>
          <w:highlight w:val="white"/>
          <w:rtl w:val="0"/>
        </w:rPr>
        <w:t xml:space="preserve">: Review of applications will begin</w:t>
      </w:r>
      <w:r w:rsidDel="00000000" w:rsidR="00000000" w:rsidRPr="00000000">
        <w:rPr>
          <w:rFonts w:ascii="Garamond" w:cs="Garamond" w:eastAsia="Garamond" w:hAnsi="Garamond"/>
          <w:color w:val="000000"/>
          <w:rtl w:val="0"/>
        </w:rPr>
        <w:t xml:space="preserve"> on November 13, 2023 </w:t>
      </w:r>
      <w:r w:rsidDel="00000000" w:rsidR="00000000" w:rsidRPr="00000000">
        <w:rPr>
          <w:rFonts w:ascii="Garamond" w:cs="Garamond" w:eastAsia="Garamond" w:hAnsi="Garamond"/>
          <w:color w:val="000000"/>
          <w:highlight w:val="white"/>
          <w:rtl w:val="0"/>
        </w:rPr>
        <w:t xml:space="preserve">and will continue until the position is filled. Applicants should submit the following materials through </w:t>
      </w:r>
      <w:hyperlink r:id="rId12">
        <w:r w:rsidDel="00000000" w:rsidR="00000000" w:rsidRPr="00000000">
          <w:rPr>
            <w:rFonts w:ascii="Garamond" w:cs="Garamond" w:eastAsia="Garamond" w:hAnsi="Garamond"/>
            <w:color w:val="0000ff"/>
            <w:highlight w:val="white"/>
            <w:u w:val="single"/>
            <w:rtl w:val="0"/>
          </w:rPr>
          <w:t xml:space="preserve">MathJobs</w:t>
        </w:r>
      </w:hyperlink>
      <w:r w:rsidDel="00000000" w:rsidR="00000000" w:rsidRPr="00000000">
        <w:rPr>
          <w:rFonts w:ascii="Garamond" w:cs="Garamond" w:eastAsia="Garamond" w:hAnsi="Garamond"/>
          <w:color w:val="000000"/>
          <w:highlight w:val="white"/>
          <w:rtl w:val="0"/>
        </w:rPr>
        <w:t xml:space="preserve">: </w:t>
      </w:r>
      <w:r w:rsidDel="00000000" w:rsidR="00000000" w:rsidRPr="00000000">
        <w:rPr>
          <w:rtl w:val="0"/>
        </w:rPr>
      </w:r>
    </w:p>
    <w:p w:rsidR="00000000" w:rsidDel="00000000" w:rsidP="00000000" w:rsidRDefault="00000000" w:rsidRPr="00000000" w14:paraId="00000028">
      <w:pPr>
        <w:numPr>
          <w:ilvl w:val="0"/>
          <w:numId w:val="1"/>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A cover letter (ma</w:t>
      </w:r>
      <w:r w:rsidDel="00000000" w:rsidR="00000000" w:rsidRPr="00000000">
        <w:rPr>
          <w:rFonts w:ascii="Garamond" w:cs="Garamond" w:eastAsia="Garamond" w:hAnsi="Garamond"/>
          <w:color w:val="000000"/>
          <w:rtl w:val="0"/>
        </w:rPr>
        <w:t xml:space="preserve">ximum of</w:t>
      </w:r>
      <w:r w:rsidDel="00000000" w:rsidR="00000000" w:rsidRPr="00000000">
        <w:rPr>
          <w:rFonts w:ascii="Garamond" w:cs="Garamond" w:eastAsia="Garamond" w:hAnsi="Garamond"/>
          <w:color w:val="000000"/>
          <w:highlight w:val="white"/>
          <w:rtl w:val="0"/>
        </w:rPr>
        <w:t xml:space="preserve"> 2 pag</w:t>
      </w:r>
      <w:r w:rsidDel="00000000" w:rsidR="00000000" w:rsidRPr="00000000">
        <w:rPr>
          <w:rFonts w:ascii="Garamond" w:cs="Garamond" w:eastAsia="Garamond" w:hAnsi="Garamond"/>
          <w:color w:val="000000"/>
          <w:rtl w:val="0"/>
        </w:rPr>
        <w:t xml:space="preserve">es, single-spaced) describing your interest in the position, relevant experience, and how you meet the minimum and preferred qualifications;</w:t>
      </w:r>
    </w:p>
    <w:p w:rsidR="00000000" w:rsidDel="00000000" w:rsidP="00000000" w:rsidRDefault="00000000" w:rsidRPr="00000000" w14:paraId="00000029">
      <w:pPr>
        <w:numPr>
          <w:ilvl w:val="0"/>
          <w:numId w:val="1"/>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w:t>
      </w:r>
      <w:r w:rsidDel="00000000" w:rsidR="00000000" w:rsidRPr="00000000">
        <w:rPr>
          <w:rFonts w:ascii="Garamond" w:cs="Garamond" w:eastAsia="Garamond" w:hAnsi="Garamond"/>
          <w:color w:val="000000"/>
          <w:highlight w:val="white"/>
          <w:rtl w:val="0"/>
        </w:rPr>
        <w:t xml:space="preserve"> curriculum vitae; </w:t>
      </w:r>
      <w:r w:rsidDel="00000000" w:rsidR="00000000" w:rsidRPr="00000000">
        <w:rPr>
          <w:rtl w:val="0"/>
        </w:rPr>
      </w:r>
    </w:p>
    <w:p w:rsidR="00000000" w:rsidDel="00000000" w:rsidP="00000000" w:rsidRDefault="00000000" w:rsidRPr="00000000" w14:paraId="0000002A">
      <w:pPr>
        <w:numPr>
          <w:ilvl w:val="0"/>
          <w:numId w:val="1"/>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A Student Success Statement (maximum of 4 pages, single-spaced) summarizing your teaching experiences (e.g., types of courses, class sizes), evidence of teaching effectiveness, and strategies for working with a diverse student population and promoting an inclusive culture in the classroom;</w:t>
      </w:r>
      <w:r w:rsidDel="00000000" w:rsidR="00000000" w:rsidRPr="00000000">
        <w:rPr>
          <w:rtl w:val="0"/>
        </w:rPr>
      </w:r>
    </w:p>
    <w:p w:rsidR="00000000" w:rsidDel="00000000" w:rsidP="00000000" w:rsidRDefault="00000000" w:rsidRPr="00000000" w14:paraId="0000002B">
      <w:pPr>
        <w:numPr>
          <w:ilvl w:val="0"/>
          <w:numId w:val="1"/>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Unofficial graduate transcripts</w:t>
      </w:r>
      <w:r w:rsidDel="00000000" w:rsidR="00000000" w:rsidRPr="00000000">
        <w:rPr>
          <w:rtl w:val="0"/>
        </w:rPr>
      </w:r>
    </w:p>
    <w:p w:rsidR="00000000" w:rsidDel="00000000" w:rsidP="00000000" w:rsidRDefault="00000000" w:rsidRPr="00000000" w14:paraId="0000002C">
      <w:pPr>
        <w:numPr>
          <w:ilvl w:val="0"/>
          <w:numId w:val="1"/>
        </w:numPr>
        <w:ind w:left="720" w:right="150" w:hanging="360"/>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3 to 4 letters of recommendation, submitted directly to MathJobs by the reference writers; at l</w:t>
      </w:r>
      <w:r w:rsidDel="00000000" w:rsidR="00000000" w:rsidRPr="00000000">
        <w:rPr>
          <w:rFonts w:ascii="Garamond" w:cs="Garamond" w:eastAsia="Garamond" w:hAnsi="Garamond"/>
          <w:color w:val="000000"/>
          <w:rtl w:val="0"/>
        </w:rPr>
        <w:t xml:space="preserve">east two of the letters should </w:t>
      </w:r>
      <w:r w:rsidDel="00000000" w:rsidR="00000000" w:rsidRPr="00000000">
        <w:rPr>
          <w:rFonts w:ascii="Garamond" w:cs="Garamond" w:eastAsia="Garamond" w:hAnsi="Garamond"/>
          <w:color w:val="000000"/>
          <w:highlight w:val="white"/>
          <w:rtl w:val="0"/>
        </w:rPr>
        <w:t xml:space="preserve">address the candidate’s teaching ability.</w:t>
      </w:r>
      <w:r w:rsidDel="00000000" w:rsidR="00000000" w:rsidRPr="00000000">
        <w:rPr>
          <w:rtl w:val="0"/>
        </w:rPr>
      </w:r>
    </w:p>
    <w:p w:rsidR="00000000" w:rsidDel="00000000" w:rsidP="00000000" w:rsidRDefault="00000000" w:rsidRPr="00000000" w14:paraId="0000002D">
      <w:pPr>
        <w:rPr>
          <w:rFonts w:ascii="Garamond" w:cs="Garamond" w:eastAsia="Garamond" w:hAnsi="Garamond"/>
        </w:rPr>
      </w:pPr>
      <w:r w:rsidDel="00000000" w:rsidR="00000000" w:rsidRPr="00000000">
        <w:rPr>
          <w:rtl w:val="0"/>
        </w:rPr>
      </w:r>
    </w:p>
    <w:p w:rsidR="00000000" w:rsidDel="00000000" w:rsidP="00000000" w:rsidRDefault="00000000" w:rsidRPr="00000000" w14:paraId="0000002E">
      <w:pPr>
        <w:ind w:left="100" w:right="147" w:firstLine="0"/>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The expected start dat</w:t>
      </w:r>
      <w:r w:rsidDel="00000000" w:rsidR="00000000" w:rsidRPr="00000000">
        <w:rPr>
          <w:rFonts w:ascii="Garamond" w:cs="Garamond" w:eastAsia="Garamond" w:hAnsi="Garamond"/>
          <w:color w:val="000000"/>
          <w:rtl w:val="0"/>
        </w:rPr>
        <w:t xml:space="preserve">e is August 16, 2024.</w:t>
      </w:r>
      <w:r w:rsidDel="00000000" w:rsidR="00000000" w:rsidRPr="00000000">
        <w:rPr>
          <w:rtl w:val="0"/>
        </w:rPr>
      </w:r>
    </w:p>
    <w:p w:rsidR="00000000" w:rsidDel="00000000" w:rsidP="00000000" w:rsidRDefault="00000000" w:rsidRPr="00000000" w14:paraId="0000002F">
      <w:pPr>
        <w:rPr>
          <w:rFonts w:ascii="Garamond" w:cs="Garamond" w:eastAsia="Garamond" w:hAnsi="Garamond"/>
        </w:rPr>
      </w:pPr>
      <w:r w:rsidDel="00000000" w:rsidR="00000000" w:rsidRPr="00000000">
        <w:rPr>
          <w:rtl w:val="0"/>
        </w:rPr>
      </w:r>
    </w:p>
    <w:p w:rsidR="00000000" w:rsidDel="00000000" w:rsidP="00000000" w:rsidRDefault="00000000" w:rsidRPr="00000000" w14:paraId="00000030">
      <w:pPr>
        <w:ind w:left="100" w:right="117" w:firstLine="0"/>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Questions, but not application materials, should be emailed to Acting MSLL Director Tammy Rossi at </w:t>
      </w:r>
      <w:hyperlink r:id="rId13">
        <w:r w:rsidDel="00000000" w:rsidR="00000000" w:rsidRPr="00000000">
          <w:rPr>
            <w:rFonts w:ascii="Garamond" w:cs="Garamond" w:eastAsia="Garamond" w:hAnsi="Garamond"/>
            <w:color w:val="1155cc"/>
            <w:highlight w:val="white"/>
            <w:u w:val="single"/>
            <w:rtl w:val="0"/>
          </w:rPr>
          <w:t xml:space="preserve">trossi@udel.edu</w:t>
        </w:r>
      </w:hyperlink>
      <w:r w:rsidDel="00000000" w:rsidR="00000000" w:rsidRPr="00000000">
        <w:rPr>
          <w:rFonts w:ascii="Garamond" w:cs="Garamond" w:eastAsia="Garamond" w:hAnsi="Garamond"/>
          <w:color w:val="000000"/>
          <w:highlight w:val="white"/>
          <w:rtl w:val="0"/>
        </w:rPr>
        <w:t xml:space="preserve"> and/or Professor Michelle Cirillo at </w:t>
      </w:r>
      <w:hyperlink r:id="rId14">
        <w:r w:rsidDel="00000000" w:rsidR="00000000" w:rsidRPr="00000000">
          <w:rPr>
            <w:rFonts w:ascii="Garamond" w:cs="Garamond" w:eastAsia="Garamond" w:hAnsi="Garamond"/>
            <w:color w:val="1155cc"/>
            <w:highlight w:val="white"/>
            <w:u w:val="single"/>
            <w:rtl w:val="0"/>
          </w:rPr>
          <w:t xml:space="preserve">mcirillo@udel.edu</w:t>
        </w:r>
      </w:hyperlink>
      <w:r w:rsidDel="00000000" w:rsidR="00000000" w:rsidRPr="00000000">
        <w:rPr>
          <w:rFonts w:ascii="Garamond" w:cs="Garamond" w:eastAsia="Garamond" w:hAnsi="Garamond"/>
          <w:color w:val="000000"/>
          <w:highlight w:val="white"/>
          <w:rtl w:val="0"/>
        </w:rPr>
        <w:t xml:space="preserve"> with “CT MSLL Position” in the subject line.</w:t>
      </w:r>
      <w:r w:rsidDel="00000000" w:rsidR="00000000" w:rsidRPr="00000000">
        <w:rPr>
          <w:rtl w:val="0"/>
        </w:rPr>
      </w:r>
    </w:p>
    <w:p w:rsidR="00000000" w:rsidDel="00000000" w:rsidP="00000000" w:rsidRDefault="00000000" w:rsidRPr="00000000" w14:paraId="00000031">
      <w:pPr>
        <w:rPr>
          <w:rFonts w:ascii="Garamond" w:cs="Garamond" w:eastAsia="Garamond" w:hAnsi="Garamond"/>
        </w:rPr>
      </w:pPr>
      <w:r w:rsidDel="00000000" w:rsidR="00000000" w:rsidRPr="00000000">
        <w:rPr>
          <w:rtl w:val="0"/>
        </w:rPr>
      </w:r>
    </w:p>
    <w:p w:rsidR="00000000" w:rsidDel="00000000" w:rsidP="00000000" w:rsidRDefault="00000000" w:rsidRPr="00000000" w14:paraId="00000032">
      <w:pPr>
        <w:ind w:left="100" w:right="117" w:firstLine="0"/>
        <w:rPr>
          <w:rFonts w:ascii="Garamond" w:cs="Garamond" w:eastAsia="Garamond" w:hAnsi="Garamond"/>
        </w:rPr>
      </w:pPr>
      <w:r w:rsidDel="00000000" w:rsidR="00000000" w:rsidRPr="00000000">
        <w:rPr>
          <w:rFonts w:ascii="Garamond" w:cs="Garamond" w:eastAsia="Garamond" w:hAnsi="Garamond"/>
          <w:b w:val="1"/>
          <w:color w:val="000000"/>
          <w:highlight w:val="white"/>
          <w:rtl w:val="0"/>
        </w:rPr>
        <w:t xml:space="preserve">SALARY AND BENEFITS</w:t>
      </w:r>
      <w:r w:rsidDel="00000000" w:rsidR="00000000" w:rsidRPr="00000000">
        <w:rPr>
          <w:rFonts w:ascii="Garamond" w:cs="Garamond" w:eastAsia="Garamond" w:hAnsi="Garamond"/>
          <w:color w:val="000000"/>
          <w:highlight w:val="white"/>
          <w:rtl w:val="0"/>
        </w:rPr>
        <w:t xml:space="preserve">: Compensation packages are highly competitive and commensurate with experience and qualifications. The </w:t>
      </w:r>
      <w:hyperlink r:id="rId15">
        <w:r w:rsidDel="00000000" w:rsidR="00000000" w:rsidRPr="00000000">
          <w:rPr>
            <w:rFonts w:ascii="Garamond" w:cs="Garamond" w:eastAsia="Garamond" w:hAnsi="Garamond"/>
            <w:color w:val="0000ff"/>
            <w:u w:val="single"/>
            <w:rtl w:val="0"/>
          </w:rPr>
          <w:t xml:space="preserve">UD benefits package</w:t>
        </w:r>
      </w:hyperlink>
      <w:r w:rsidDel="00000000" w:rsidR="00000000" w:rsidRPr="00000000">
        <w:rPr>
          <w:rFonts w:ascii="Garamond" w:cs="Garamond" w:eastAsia="Garamond" w:hAnsi="Garamond"/>
          <w:color w:val="000000"/>
          <w:highlight w:val="white"/>
          <w:rtl w:val="0"/>
        </w:rPr>
        <w:t xml:space="preserve"> is one of the best in the nation. A recipient of a NSF ADVANCE Institutional Transformation award, UD has </w:t>
      </w:r>
      <w:r w:rsidDel="00000000" w:rsidR="00000000" w:rsidRPr="00000000">
        <w:rPr>
          <w:rFonts w:ascii="Garamond" w:cs="Garamond" w:eastAsia="Garamond" w:hAnsi="Garamond"/>
          <w:highlight w:val="white"/>
          <w:rtl w:val="0"/>
        </w:rPr>
        <w:t xml:space="preserve">a </w:t>
      </w:r>
      <w:hyperlink r:id="rId16">
        <w:r w:rsidDel="00000000" w:rsidR="00000000" w:rsidRPr="00000000">
          <w:rPr>
            <w:rFonts w:ascii="Garamond" w:cs="Garamond" w:eastAsia="Garamond" w:hAnsi="Garamond"/>
            <w:color w:val="1155cc"/>
            <w:highlight w:val="white"/>
            <w:u w:val="single"/>
            <w:rtl w:val="0"/>
          </w:rPr>
          <w:t xml:space="preserve">process</w:t>
        </w:r>
      </w:hyperlink>
      <w:r w:rsidDel="00000000" w:rsidR="00000000" w:rsidRPr="00000000">
        <w:rPr>
          <w:rFonts w:ascii="Garamond" w:cs="Garamond" w:eastAsia="Garamond" w:hAnsi="Garamond"/>
          <w:highlight w:val="white"/>
          <w:rtl w:val="0"/>
        </w:rPr>
        <w:t xml:space="preserve"> for</w:t>
      </w:r>
      <w:r w:rsidDel="00000000" w:rsidR="00000000" w:rsidRPr="00000000">
        <w:rPr>
          <w:rFonts w:ascii="Garamond" w:cs="Garamond" w:eastAsia="Garamond" w:hAnsi="Garamond"/>
          <w:color w:val="000000"/>
          <w:highlight w:val="white"/>
          <w:rtl w:val="0"/>
        </w:rPr>
        <w:t xml:space="preserve"> assisting dual-career couples and supports work-life balance through family-friendly policies.</w:t>
      </w:r>
      <w:r w:rsidDel="00000000" w:rsidR="00000000" w:rsidRPr="00000000">
        <w:rPr>
          <w:rtl w:val="0"/>
        </w:rPr>
      </w:r>
    </w:p>
    <w:p w:rsidR="00000000" w:rsidDel="00000000" w:rsidP="00000000" w:rsidRDefault="00000000" w:rsidRPr="00000000" w14:paraId="00000033">
      <w:pPr>
        <w:rPr>
          <w:rFonts w:ascii="Garamond" w:cs="Garamond" w:eastAsia="Garamond" w:hAnsi="Garamond"/>
        </w:rPr>
      </w:pPr>
      <w:r w:rsidDel="00000000" w:rsidR="00000000" w:rsidRPr="00000000">
        <w:rPr>
          <w:rtl w:val="0"/>
        </w:rPr>
      </w:r>
    </w:p>
    <w:p w:rsidR="00000000" w:rsidDel="00000000" w:rsidP="00000000" w:rsidRDefault="00000000" w:rsidRPr="00000000" w14:paraId="00000034">
      <w:pPr>
        <w:ind w:left="100" w:right="150" w:firstLine="0"/>
        <w:rPr>
          <w:rFonts w:ascii="Garamond" w:cs="Garamond" w:eastAsia="Garamond" w:hAnsi="Garamond"/>
        </w:rPr>
      </w:pPr>
      <w:r w:rsidDel="00000000" w:rsidR="00000000" w:rsidRPr="00000000">
        <w:rPr>
          <w:rFonts w:ascii="Garamond" w:cs="Garamond" w:eastAsia="Garamond" w:hAnsi="Garamond"/>
          <w:b w:val="1"/>
          <w:color w:val="000000"/>
          <w:highlight w:val="white"/>
          <w:rtl w:val="0"/>
        </w:rPr>
        <w:t xml:space="preserve">EQUAL EMPLOYMENT OPPORTUNITY</w:t>
      </w:r>
      <w:r w:rsidDel="00000000" w:rsidR="00000000" w:rsidRPr="00000000">
        <w:rPr>
          <w:rFonts w:ascii="Garamond" w:cs="Garamond" w:eastAsia="Garamond" w:hAnsi="Garamond"/>
          <w:color w:val="000000"/>
          <w:highlight w:val="white"/>
          <w:rtl w:val="0"/>
        </w:rPr>
        <w:t xml:space="preserve">: The University of Delaware is an Equal Opportunity Employer and encourages applications from members of underrepresented groups. The University's Notice of Non-Discrimination can be found at </w:t>
      </w:r>
      <w:hyperlink r:id="rId17">
        <w:r w:rsidDel="00000000" w:rsidR="00000000" w:rsidRPr="00000000">
          <w:rPr>
            <w:rFonts w:ascii="Garamond" w:cs="Garamond" w:eastAsia="Garamond" w:hAnsi="Garamond"/>
            <w:color w:val="0000ff"/>
            <w:highlight w:val="white"/>
            <w:u w:val="single"/>
            <w:rtl w:val="0"/>
          </w:rPr>
          <w:t xml:space="preserve">http://www.udel.edu/aboutus/legalnotices.html</w:t>
        </w:r>
      </w:hyperlink>
      <w:r w:rsidDel="00000000" w:rsidR="00000000" w:rsidRPr="00000000">
        <w:rPr>
          <w:rFonts w:ascii="Garamond" w:cs="Garamond" w:eastAsia="Garamond" w:hAnsi="Garamond"/>
          <w:color w:val="2a2a2a"/>
          <w:highlight w:val="white"/>
          <w:rtl w:val="0"/>
        </w:rPr>
        <w:t xml:space="preserve">. </w:t>
      </w:r>
      <w:r w:rsidDel="00000000" w:rsidR="00000000" w:rsidRPr="00000000">
        <w:rPr>
          <w:rtl w:val="0"/>
        </w:rPr>
      </w:r>
    </w:p>
    <w:p w:rsidR="00000000" w:rsidDel="00000000" w:rsidP="00000000" w:rsidRDefault="00000000" w:rsidRPr="00000000" w14:paraId="00000035">
      <w:pPr>
        <w:rPr>
          <w:rFonts w:ascii="Garamond" w:cs="Garamond" w:eastAsia="Garamond" w:hAnsi="Garamond"/>
        </w:rPr>
      </w:pPr>
      <w:r w:rsidDel="00000000" w:rsidR="00000000" w:rsidRPr="00000000">
        <w:rPr>
          <w:rtl w:val="0"/>
        </w:rPr>
      </w:r>
    </w:p>
    <w:p w:rsidR="00000000" w:rsidDel="00000000" w:rsidP="00000000" w:rsidRDefault="00000000" w:rsidRPr="00000000" w14:paraId="00000036">
      <w:pPr>
        <w:rPr>
          <w:rFonts w:ascii="Garamond" w:cs="Garamond" w:eastAsia="Garamond" w:hAnsi="Garamond"/>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F53EC"/>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3F53E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udel.edu" TargetMode="External"/><Relationship Id="rId10" Type="http://schemas.openxmlformats.org/officeDocument/2006/relationships/hyperlink" Target="https://www.cas.udel.edu/" TargetMode="External"/><Relationship Id="rId13" Type="http://schemas.openxmlformats.org/officeDocument/2006/relationships/hyperlink" Target="mailto:trossi@udel.edu" TargetMode="External"/><Relationship Id="rId12" Type="http://schemas.openxmlformats.org/officeDocument/2006/relationships/hyperlink" Target="http://www.mathjob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thsci.udel.edu" TargetMode="External"/><Relationship Id="rId15" Type="http://schemas.openxmlformats.org/officeDocument/2006/relationships/hyperlink" Target="https://www.udel.edu/faculty-staff/human-resources/benefits/" TargetMode="External"/><Relationship Id="rId14" Type="http://schemas.openxmlformats.org/officeDocument/2006/relationships/hyperlink" Target="mailto:mcirillo@udel.edu" TargetMode="External"/><Relationship Id="rId17" Type="http://schemas.openxmlformats.org/officeDocument/2006/relationships/hyperlink" Target="http://www.udel.edu/aboutus/legalnotices.html" TargetMode="External"/><Relationship Id="rId16" Type="http://schemas.openxmlformats.org/officeDocument/2006/relationships/hyperlink" Target="https://sites.udel.edu/advance/work-life-policies/dual-care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ites.udel.edu/ctcaucus/why-do-you-want-to-be-a-ct-faculty-at-u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qziL5EKcKnOZ7QhEHuHJ9mM0g==">CgMxLjA4AHIhMUNobFF2cXVMSERGZGM0OHlhbklab0F6dVNNVWhtREZB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2023-10-20T19:06:00Z</dcterms:created>
  <dc:creator>Rossi, Tammy</dc:creator>
</cp:coreProperties>
</file>