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91.266846361186"/>
        <w:gridCol w:w="1261.455525606469"/>
        <w:gridCol w:w="1261.455525606469"/>
        <w:gridCol w:w="1261.455525606469"/>
        <w:gridCol w:w="1261.455525606469"/>
        <w:gridCol w:w="1261.455525606469"/>
        <w:gridCol w:w="1261.455525606469"/>
        <w:tblGridChange w:id="0">
          <w:tblGrid>
            <w:gridCol w:w="1791.266846361186"/>
            <w:gridCol w:w="1261.455525606469"/>
            <w:gridCol w:w="1261.455525606469"/>
            <w:gridCol w:w="1261.455525606469"/>
            <w:gridCol w:w="1261.455525606469"/>
            <w:gridCol w:w="1261.455525606469"/>
            <w:gridCol w:w="1261.455525606469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widowControl w:val="0"/>
              <w:contextualSpacing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Table 1. Results of Analysis: Task 1 # and Exit Ticket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n=13</w:t>
            </w:r>
          </w:p>
        </w:tc>
      </w:tr>
      <w:tr>
        <w:trPr>
          <w:trHeight w:val="98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Structure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to/join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away/separate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Put together/take apart/part-part-whole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Unknown location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unknown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unknown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unknown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Addend Unknown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Difference unknown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Nature of equation/s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 equation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Situation equation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Neither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Neither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location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Left of equal sign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Right of equal sign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Neither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Representation number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Four or more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Representation type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 model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mountain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 model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Comparison bar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 and label are accurate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 OR label are accurate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Neither are accurate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Task 1 #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Ticket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rPr/>
      </w:pPr>
      <w:r w:rsidDel="00000000" w:rsidR="00000000" w:rsidRPr="00000000">
        <w:rPr>
          <w:rtl w:val="0"/>
        </w:rPr>
        <w:t xml:space="preserve">To analyze student progress in this lesson, we applied the Structures Rubric to Task 1, #3, and the word problem on the Exit Ticket. We had access to thirteen students’ paired responses to these two items. Results of this analysis are summarized in Table 1.</w:t>
      </w:r>
    </w:p>
    <w:p w:rsidR="00000000" w:rsidDel="00000000" w:rsidP="00000000" w:rsidRDefault="00000000" w:rsidRPr="00000000" w14:paraId="000000B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contextualSpacing w:val="0"/>
        <w:rPr/>
      </w:pPr>
      <w:r w:rsidDel="00000000" w:rsidR="00000000" w:rsidRPr="00000000">
        <w:rPr>
          <w:rtl w:val="0"/>
        </w:rPr>
        <w:t xml:space="preserve">The most notable changes between the two problems are: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Candidates were not asked to identify the structure of Task 1, #3, so it is not surprising that few students indicated a structure or location of the unknown. Some students appeared to add this information later in the lesson.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Solution vs. Situation equation. Initially, 11 candidates wrote solution equations and 4 wrote situation equations (including those who wrote both). On exit tickets, 9 candidates wrote solution equations and 8 wrote situation equations.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 was little change in whether candidates wrote equations involving addition, subtraction, or both.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Initially, all candidates who included an equation wrote the solution to the right of the equal sign (e.g,. 8+3=11). On the exit ticket, five candidates wrote the solution to the left of the equal sign (e.g, 11=8+3). Combined with the slight shift in solution vs. situation equation, this suggests growth in attention to how the word problems are structured and/or how students might represent the problems with equations.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candidates included representations (other than equations) with their exit ticket than on Task 1, #3. Initially, six candidates included zero representation, and 7 included one representation. On the exit ticket, only one candidate did not include a representation and two included multiple representations.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Although candidates used more representations at the end of class, direct models were the most widely used. On the exit ticket, candidates used 9 direct models, 3 math mountains, 2 bar models, and one comparison model (which was incorrectly applied to the situation).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