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2C2A5" w14:textId="77777777" w:rsidR="005B66DB" w:rsidRPr="005B66DB" w:rsidRDefault="005B66DB" w:rsidP="009315EC">
      <w:pPr>
        <w:rPr>
          <w:b/>
          <w:bCs/>
          <w:sz w:val="22"/>
          <w:szCs w:val="22"/>
        </w:rPr>
      </w:pPr>
      <w:r w:rsidRPr="005B66DB">
        <w:rPr>
          <w:b/>
          <w:bCs/>
          <w:sz w:val="22"/>
          <w:szCs w:val="22"/>
        </w:rPr>
        <w:t>Lecturer</w:t>
      </w:r>
    </w:p>
    <w:p w14:paraId="5CF2274E" w14:textId="77777777" w:rsidR="005B66DB" w:rsidRPr="005B66DB" w:rsidRDefault="005B66DB" w:rsidP="009315EC">
      <w:pPr>
        <w:rPr>
          <w:b/>
          <w:bCs/>
          <w:sz w:val="22"/>
          <w:szCs w:val="22"/>
        </w:rPr>
      </w:pPr>
      <w:r w:rsidRPr="005B66DB">
        <w:rPr>
          <w:b/>
          <w:bCs/>
          <w:sz w:val="22"/>
          <w:szCs w:val="22"/>
        </w:rPr>
        <w:t>Department of Mathematics</w:t>
      </w:r>
    </w:p>
    <w:p w14:paraId="028AB984" w14:textId="77777777" w:rsidR="005B66DB" w:rsidRPr="005B66DB" w:rsidRDefault="005B66DB" w:rsidP="009315EC">
      <w:pPr>
        <w:rPr>
          <w:b/>
          <w:bCs/>
          <w:sz w:val="22"/>
          <w:szCs w:val="22"/>
        </w:rPr>
      </w:pPr>
      <w:r w:rsidRPr="005B66DB">
        <w:rPr>
          <w:b/>
          <w:bCs/>
          <w:sz w:val="22"/>
          <w:szCs w:val="22"/>
        </w:rPr>
        <w:t>The Jess and Mildred Fisher College of Science and Mathematics</w:t>
      </w:r>
    </w:p>
    <w:p w14:paraId="25560F76" w14:textId="1375DFF0" w:rsidR="005B66DB" w:rsidRPr="005B66DB" w:rsidRDefault="005B66DB" w:rsidP="009315EC">
      <w:pPr>
        <w:rPr>
          <w:b/>
          <w:bCs/>
          <w:sz w:val="22"/>
          <w:szCs w:val="22"/>
        </w:rPr>
      </w:pPr>
      <w:r w:rsidRPr="005B66DB">
        <w:rPr>
          <w:b/>
          <w:bCs/>
          <w:sz w:val="22"/>
          <w:szCs w:val="22"/>
        </w:rPr>
        <w:t>FCSM-N-32</w:t>
      </w:r>
      <w:r w:rsidR="00464261">
        <w:rPr>
          <w:b/>
          <w:bCs/>
          <w:sz w:val="22"/>
          <w:szCs w:val="22"/>
        </w:rPr>
        <w:t>66</w:t>
      </w:r>
      <w:r w:rsidRPr="005B66DB">
        <w:rPr>
          <w:b/>
          <w:bCs/>
          <w:sz w:val="22"/>
          <w:szCs w:val="22"/>
        </w:rPr>
        <w:t>L</w:t>
      </w:r>
    </w:p>
    <w:p w14:paraId="0653B49B" w14:textId="77777777" w:rsidR="005B66DB" w:rsidRPr="005B66DB" w:rsidRDefault="005B66DB" w:rsidP="009315EC">
      <w:pPr>
        <w:rPr>
          <w:b/>
          <w:bCs/>
          <w:sz w:val="22"/>
          <w:szCs w:val="22"/>
        </w:rPr>
      </w:pPr>
    </w:p>
    <w:p w14:paraId="06B878D2" w14:textId="719BF004" w:rsidR="009315EC" w:rsidRPr="005B66DB" w:rsidRDefault="009315EC" w:rsidP="009315EC">
      <w:pPr>
        <w:rPr>
          <w:b/>
          <w:bCs/>
          <w:sz w:val="22"/>
          <w:szCs w:val="22"/>
        </w:rPr>
      </w:pPr>
      <w:r w:rsidRPr="005B66DB">
        <w:rPr>
          <w:b/>
          <w:bCs/>
          <w:sz w:val="22"/>
          <w:szCs w:val="22"/>
        </w:rPr>
        <w:t xml:space="preserve">Position: </w:t>
      </w:r>
      <w:r w:rsidRPr="005B66DB">
        <w:rPr>
          <w:b/>
          <w:bCs/>
          <w:sz w:val="22"/>
          <w:szCs w:val="22"/>
        </w:rPr>
        <w:br/>
      </w:r>
      <w:r w:rsidRPr="005B66DB">
        <w:rPr>
          <w:sz w:val="22"/>
          <w:szCs w:val="22"/>
        </w:rPr>
        <w:t xml:space="preserve">The Jess and Mildred Fisher College of Science and Mathematics invites applications for a full-time, non-tenure track, 10-month Lecturer position in the Department of Mathematics beginning </w:t>
      </w:r>
      <w:r w:rsidR="00945E84" w:rsidRPr="005B66DB">
        <w:rPr>
          <w:sz w:val="22"/>
          <w:szCs w:val="22"/>
        </w:rPr>
        <w:t xml:space="preserve">in </w:t>
      </w:r>
      <w:r w:rsidRPr="005B66DB">
        <w:rPr>
          <w:sz w:val="22"/>
          <w:szCs w:val="22"/>
        </w:rPr>
        <w:t>August, 201</w:t>
      </w:r>
      <w:r w:rsidR="005951B0" w:rsidRPr="005B66DB">
        <w:rPr>
          <w:sz w:val="22"/>
          <w:szCs w:val="22"/>
        </w:rPr>
        <w:t>9</w:t>
      </w:r>
      <w:r w:rsidRPr="005B66DB">
        <w:rPr>
          <w:sz w:val="22"/>
          <w:szCs w:val="22"/>
        </w:rPr>
        <w:t>. </w:t>
      </w:r>
    </w:p>
    <w:p w14:paraId="6DFFCA6E" w14:textId="77777777" w:rsidR="009315EC" w:rsidRPr="005B66DB" w:rsidRDefault="009315EC" w:rsidP="009315EC">
      <w:pPr>
        <w:rPr>
          <w:sz w:val="22"/>
          <w:szCs w:val="22"/>
        </w:rPr>
      </w:pPr>
    </w:p>
    <w:p w14:paraId="0905DC5E" w14:textId="77777777" w:rsidR="009315EC" w:rsidRPr="005B66DB" w:rsidRDefault="009315EC" w:rsidP="009315EC">
      <w:pPr>
        <w:rPr>
          <w:b/>
          <w:bCs/>
          <w:sz w:val="22"/>
          <w:szCs w:val="22"/>
        </w:rPr>
      </w:pPr>
      <w:r w:rsidRPr="005B66DB">
        <w:rPr>
          <w:b/>
          <w:bCs/>
          <w:sz w:val="22"/>
          <w:szCs w:val="22"/>
        </w:rPr>
        <w:t xml:space="preserve">Qualifications: </w:t>
      </w:r>
    </w:p>
    <w:p w14:paraId="40E3C61C" w14:textId="74BA30AE" w:rsidR="00945E84" w:rsidRPr="005B66DB" w:rsidRDefault="00945E84" w:rsidP="00945E84">
      <w:pPr>
        <w:pStyle w:val="xmsonormal"/>
        <w:rPr>
          <w:color w:val="000000"/>
          <w:sz w:val="22"/>
          <w:szCs w:val="22"/>
        </w:rPr>
      </w:pPr>
      <w:r w:rsidRPr="005B66DB">
        <w:rPr>
          <w:color w:val="000000"/>
          <w:sz w:val="22"/>
          <w:szCs w:val="22"/>
        </w:rPr>
        <w:t xml:space="preserve">The candidates must have a Master’s degree in Mathematics Education. A commitment to excellence and innovation in teaching is required. Candidates with </w:t>
      </w:r>
      <w:r w:rsidR="005951B0" w:rsidRPr="005B66DB">
        <w:rPr>
          <w:color w:val="000000"/>
          <w:sz w:val="22"/>
          <w:szCs w:val="22"/>
        </w:rPr>
        <w:t xml:space="preserve">strong mathematics coursework on their undergraduate or graduate transcript </w:t>
      </w:r>
      <w:r w:rsidRPr="005B66DB">
        <w:rPr>
          <w:color w:val="000000"/>
          <w:sz w:val="22"/>
          <w:szCs w:val="22"/>
        </w:rPr>
        <w:t xml:space="preserve">are given preference. </w:t>
      </w:r>
    </w:p>
    <w:p w14:paraId="7D33F057" w14:textId="77777777" w:rsidR="00945E84" w:rsidRPr="005B66DB" w:rsidRDefault="00945E84" w:rsidP="00945E84">
      <w:pPr>
        <w:pStyle w:val="xmsonormal"/>
        <w:rPr>
          <w:color w:val="000000"/>
          <w:sz w:val="22"/>
          <w:szCs w:val="22"/>
        </w:rPr>
      </w:pPr>
    </w:p>
    <w:p w14:paraId="08F9B46A" w14:textId="3093C13D" w:rsidR="00945E84" w:rsidRPr="005B66DB" w:rsidRDefault="00945E84" w:rsidP="00750A09">
      <w:pPr>
        <w:pStyle w:val="xmsonormal"/>
        <w:rPr>
          <w:rFonts w:eastAsia="Times New Roman"/>
          <w:color w:val="000000"/>
          <w:sz w:val="22"/>
          <w:szCs w:val="22"/>
        </w:rPr>
      </w:pPr>
      <w:r w:rsidRPr="005B66DB">
        <w:rPr>
          <w:color w:val="000000"/>
          <w:sz w:val="22"/>
          <w:szCs w:val="22"/>
        </w:rPr>
        <w:t xml:space="preserve">The ideal candidate will </w:t>
      </w:r>
      <w:r w:rsidR="005951B0" w:rsidRPr="005B66DB">
        <w:rPr>
          <w:rFonts w:eastAsia="Times New Roman"/>
          <w:color w:val="000000"/>
          <w:sz w:val="22"/>
          <w:szCs w:val="22"/>
        </w:rPr>
        <w:t>h</w:t>
      </w:r>
      <w:r w:rsidRPr="005B66DB">
        <w:rPr>
          <w:rFonts w:eastAsia="Times New Roman"/>
          <w:color w:val="000000"/>
          <w:sz w:val="22"/>
          <w:szCs w:val="22"/>
        </w:rPr>
        <w:t>ave experience in mathematics education, teaching content and/or methods courses to preservice elementary school teachers; outreach work to schools; experience doing professional development with in-service teachers.</w:t>
      </w:r>
    </w:p>
    <w:p w14:paraId="6E8AEB5F" w14:textId="77777777" w:rsidR="005951B0" w:rsidRPr="005B66DB" w:rsidRDefault="005951B0" w:rsidP="009315EC">
      <w:pPr>
        <w:rPr>
          <w:rFonts w:eastAsia="Times New Roman"/>
          <w:color w:val="000000"/>
          <w:sz w:val="22"/>
          <w:szCs w:val="22"/>
        </w:rPr>
      </w:pPr>
    </w:p>
    <w:p w14:paraId="2AE33721" w14:textId="77777777" w:rsidR="009315EC" w:rsidRPr="005B66DB" w:rsidRDefault="009315EC" w:rsidP="009315EC">
      <w:pPr>
        <w:rPr>
          <w:sz w:val="22"/>
          <w:szCs w:val="22"/>
        </w:rPr>
      </w:pPr>
      <w:r w:rsidRPr="005B66DB">
        <w:rPr>
          <w:b/>
          <w:bCs/>
          <w:sz w:val="22"/>
          <w:szCs w:val="22"/>
        </w:rPr>
        <w:t>Responsibilities:</w:t>
      </w:r>
    </w:p>
    <w:p w14:paraId="69C6C5DA" w14:textId="77777777" w:rsidR="009315EC" w:rsidRPr="005B66DB" w:rsidRDefault="0067009F" w:rsidP="009315EC">
      <w:pPr>
        <w:rPr>
          <w:sz w:val="22"/>
          <w:szCs w:val="22"/>
        </w:rPr>
      </w:pPr>
      <w:r w:rsidRPr="005B66DB">
        <w:rPr>
          <w:sz w:val="22"/>
          <w:szCs w:val="22"/>
        </w:rPr>
        <w:t>The instructional workload is 24 contact hours per year; typical courses are 3 or 4 contact hours.</w:t>
      </w:r>
      <w:r w:rsidR="009315EC" w:rsidRPr="005B66DB">
        <w:rPr>
          <w:sz w:val="22"/>
          <w:szCs w:val="22"/>
        </w:rPr>
        <w:t xml:space="preserve"> </w:t>
      </w:r>
      <w:r w:rsidRPr="005B66DB">
        <w:rPr>
          <w:sz w:val="22"/>
          <w:szCs w:val="22"/>
        </w:rPr>
        <w:t xml:space="preserve"> Additionally, </w:t>
      </w:r>
      <w:r w:rsidR="00781A55" w:rsidRPr="005B66DB">
        <w:rPr>
          <w:sz w:val="22"/>
          <w:szCs w:val="22"/>
        </w:rPr>
        <w:t xml:space="preserve">workload includes departmental </w:t>
      </w:r>
      <w:r w:rsidR="00FB6A78" w:rsidRPr="005B66DB">
        <w:rPr>
          <w:sz w:val="22"/>
          <w:szCs w:val="22"/>
        </w:rPr>
        <w:t>service, such as coordinating</w:t>
      </w:r>
      <w:r w:rsidR="00781A55" w:rsidRPr="005B66DB">
        <w:rPr>
          <w:sz w:val="22"/>
          <w:szCs w:val="22"/>
        </w:rPr>
        <w:t xml:space="preserve"> a lower level course or responsibility for </w:t>
      </w:r>
      <w:r w:rsidRPr="005B66DB">
        <w:rPr>
          <w:sz w:val="22"/>
          <w:szCs w:val="22"/>
        </w:rPr>
        <w:t>a</w:t>
      </w:r>
      <w:r w:rsidR="00781A55" w:rsidRPr="005B66DB">
        <w:rPr>
          <w:sz w:val="22"/>
          <w:szCs w:val="22"/>
        </w:rPr>
        <w:t xml:space="preserve">n ongoing departmental outreach partnership, in addition to participation on department wide committees. </w:t>
      </w:r>
      <w:r w:rsidRPr="005B66DB">
        <w:rPr>
          <w:sz w:val="22"/>
          <w:szCs w:val="22"/>
        </w:rPr>
        <w:t xml:space="preserve"> </w:t>
      </w:r>
    </w:p>
    <w:p w14:paraId="09A1265F" w14:textId="77777777" w:rsidR="009315EC" w:rsidRPr="005B66DB" w:rsidRDefault="009315EC" w:rsidP="009315EC">
      <w:pPr>
        <w:rPr>
          <w:sz w:val="22"/>
          <w:szCs w:val="22"/>
        </w:rPr>
      </w:pPr>
    </w:p>
    <w:p w14:paraId="0649CCC1" w14:textId="77777777" w:rsidR="009315EC" w:rsidRPr="005B66DB" w:rsidRDefault="009315EC" w:rsidP="009315EC">
      <w:pPr>
        <w:rPr>
          <w:sz w:val="22"/>
          <w:szCs w:val="22"/>
        </w:rPr>
      </w:pPr>
      <w:r w:rsidRPr="005B66DB">
        <w:rPr>
          <w:b/>
          <w:bCs/>
          <w:sz w:val="22"/>
          <w:szCs w:val="22"/>
        </w:rPr>
        <w:t xml:space="preserve">Towson University: </w:t>
      </w:r>
    </w:p>
    <w:p w14:paraId="5840AB1B" w14:textId="77777777" w:rsidR="009315EC" w:rsidRPr="005B66DB" w:rsidRDefault="009315EC" w:rsidP="009315EC">
      <w:pPr>
        <w:rPr>
          <w:sz w:val="22"/>
          <w:szCs w:val="22"/>
        </w:rPr>
      </w:pPr>
      <w:r w:rsidRPr="005B66DB">
        <w:rPr>
          <w:sz w:val="22"/>
          <w:szCs w:val="22"/>
        </w:rPr>
        <w:t>Towson University (</w:t>
      </w:r>
      <w:hyperlink r:id="rId5" w:history="1">
        <w:r w:rsidRPr="005B66DB">
          <w:rPr>
            <w:rStyle w:val="Hyperlink"/>
            <w:sz w:val="22"/>
            <w:szCs w:val="22"/>
          </w:rPr>
          <w:t>www.towson.edu</w:t>
        </w:r>
      </w:hyperlink>
      <w:r w:rsidRPr="005B66DB">
        <w:rPr>
          <w:sz w:val="22"/>
          <w:szCs w:val="22"/>
        </w:rPr>
        <w:t>) was founded in 1866, recognized by U. S. News and World Reports as one of the top public universities in the Northeast and Mid-Atlantic regions, is Baltimore’s largest university, and is the largest public, comprehensive institution in the University of Maryland System. TU enrolls over 19,000 undergraduates and more than 3,000 graduate students across six academic colleges (business, education, fine arts, health professions, liberal arts, science &amp; mathematics), has over 900 full-time faculty, and offers 65 bachelor’s, 42 master’s, and 4 doctoral programs. Our centrally located campus sits on 330 rolling green acres and is 10 miles north of Baltimore, 45 miles north of Washington D.C., and 95 miles south of Philadelphia.</w:t>
      </w:r>
    </w:p>
    <w:p w14:paraId="43F0FDFB" w14:textId="77777777" w:rsidR="009315EC" w:rsidRPr="005B66DB" w:rsidRDefault="009315EC" w:rsidP="009315EC">
      <w:pPr>
        <w:rPr>
          <w:sz w:val="22"/>
          <w:szCs w:val="22"/>
        </w:rPr>
      </w:pPr>
      <w:r w:rsidRPr="005B66DB">
        <w:rPr>
          <w:sz w:val="22"/>
          <w:szCs w:val="22"/>
        </w:rPr>
        <w:t> </w:t>
      </w:r>
    </w:p>
    <w:p w14:paraId="0F4C517D" w14:textId="77777777" w:rsidR="009315EC" w:rsidRPr="005B66DB" w:rsidRDefault="009315EC" w:rsidP="009315EC">
      <w:pPr>
        <w:rPr>
          <w:sz w:val="22"/>
          <w:szCs w:val="22"/>
        </w:rPr>
      </w:pPr>
      <w:bookmarkStart w:id="0" w:name="_GoBack"/>
      <w:r w:rsidRPr="005B66DB">
        <w:rPr>
          <w:b/>
          <w:bCs/>
          <w:sz w:val="22"/>
          <w:szCs w:val="22"/>
        </w:rPr>
        <w:t>Application Process</w:t>
      </w:r>
      <w:r w:rsidRPr="005B66DB">
        <w:rPr>
          <w:sz w:val="22"/>
          <w:szCs w:val="22"/>
        </w:rPr>
        <w:t>:</w:t>
      </w:r>
    </w:p>
    <w:p w14:paraId="7DDEF0F0" w14:textId="035AA3A7" w:rsidR="009315EC" w:rsidRPr="005B66DB" w:rsidRDefault="009315EC" w:rsidP="009315EC">
      <w:pPr>
        <w:rPr>
          <w:sz w:val="22"/>
          <w:szCs w:val="22"/>
        </w:rPr>
      </w:pPr>
      <w:r w:rsidRPr="005B66DB">
        <w:rPr>
          <w:sz w:val="22"/>
          <w:szCs w:val="22"/>
        </w:rPr>
        <w:lastRenderedPageBreak/>
        <w:t xml:space="preserve">Review of applications will begin on </w:t>
      </w:r>
      <w:r w:rsidR="005951B0" w:rsidRPr="005B66DB">
        <w:rPr>
          <w:sz w:val="22"/>
          <w:szCs w:val="22"/>
        </w:rPr>
        <w:t xml:space="preserve">May 1, 2019 </w:t>
      </w:r>
      <w:r w:rsidRPr="005B66DB">
        <w:rPr>
          <w:sz w:val="22"/>
          <w:szCs w:val="22"/>
        </w:rPr>
        <w:t xml:space="preserve">and will continue until the position </w:t>
      </w:r>
      <w:r w:rsidR="005951B0" w:rsidRPr="005B66DB">
        <w:rPr>
          <w:sz w:val="22"/>
          <w:szCs w:val="22"/>
        </w:rPr>
        <w:t>is</w:t>
      </w:r>
      <w:r w:rsidRPr="005B66DB">
        <w:rPr>
          <w:sz w:val="22"/>
          <w:szCs w:val="22"/>
        </w:rPr>
        <w:t xml:space="preserve"> filled. Applications should be submitted electronically through </w:t>
      </w:r>
      <w:hyperlink r:id="rId6" w:history="1">
        <w:r w:rsidRPr="005B66DB">
          <w:rPr>
            <w:rStyle w:val="Hyperlink"/>
            <w:sz w:val="22"/>
            <w:szCs w:val="22"/>
          </w:rPr>
          <w:t>www.mathjobs.org</w:t>
        </w:r>
      </w:hyperlink>
      <w:r w:rsidRPr="005B66DB">
        <w:rPr>
          <w:sz w:val="22"/>
          <w:szCs w:val="22"/>
        </w:rPr>
        <w:t>. A complete application includes a</w:t>
      </w:r>
      <w:r w:rsidR="00945E84" w:rsidRPr="005B66DB">
        <w:rPr>
          <w:sz w:val="22"/>
          <w:szCs w:val="22"/>
        </w:rPr>
        <w:t xml:space="preserve"> cover letter, curriculum vitae</w:t>
      </w:r>
      <w:r w:rsidRPr="005B66DB">
        <w:rPr>
          <w:sz w:val="22"/>
          <w:szCs w:val="22"/>
        </w:rPr>
        <w:t xml:space="preserve">, all graduate transcripts, a teaching </w:t>
      </w:r>
      <w:r w:rsidR="00945E84" w:rsidRPr="005B66DB">
        <w:rPr>
          <w:sz w:val="22"/>
          <w:szCs w:val="22"/>
        </w:rPr>
        <w:t xml:space="preserve">philosophy </w:t>
      </w:r>
      <w:r w:rsidRPr="005B66DB">
        <w:rPr>
          <w:sz w:val="22"/>
          <w:szCs w:val="22"/>
        </w:rPr>
        <w:t>statement, and at least three recommendation letters addressing the candidate’s teaching.</w:t>
      </w:r>
    </w:p>
    <w:bookmarkEnd w:id="0"/>
    <w:p w14:paraId="6CCE20CB" w14:textId="77777777" w:rsidR="009315EC" w:rsidRPr="005B66DB" w:rsidRDefault="009315EC" w:rsidP="009315EC">
      <w:pPr>
        <w:rPr>
          <w:sz w:val="22"/>
          <w:szCs w:val="22"/>
        </w:rPr>
      </w:pPr>
      <w:r w:rsidRPr="005B66DB">
        <w:rPr>
          <w:sz w:val="22"/>
          <w:szCs w:val="22"/>
        </w:rPr>
        <w:t> </w:t>
      </w:r>
    </w:p>
    <w:p w14:paraId="3ACD0475" w14:textId="77777777" w:rsidR="009315EC" w:rsidRPr="005B66DB" w:rsidRDefault="009315EC" w:rsidP="009315EC">
      <w:pPr>
        <w:rPr>
          <w:sz w:val="22"/>
          <w:szCs w:val="22"/>
        </w:rPr>
      </w:pPr>
      <w:r w:rsidRPr="005B66DB">
        <w:rPr>
          <w:sz w:val="22"/>
          <w:szCs w:val="22"/>
        </w:rPr>
        <w:t xml:space="preserve">A Criminal Background Investigation is required for the hired candidate and the results may impact employment. </w:t>
      </w:r>
    </w:p>
    <w:p w14:paraId="6630C7F4" w14:textId="77777777" w:rsidR="009315EC" w:rsidRPr="005B66DB" w:rsidRDefault="009315EC" w:rsidP="009315EC">
      <w:pPr>
        <w:rPr>
          <w:sz w:val="22"/>
          <w:szCs w:val="22"/>
        </w:rPr>
      </w:pPr>
      <w:r w:rsidRPr="005B66DB">
        <w:rPr>
          <w:sz w:val="22"/>
          <w:szCs w:val="22"/>
        </w:rPr>
        <w:t> </w:t>
      </w:r>
    </w:p>
    <w:p w14:paraId="7873D878" w14:textId="7DFAEE34" w:rsidR="009315EC" w:rsidRPr="005B66DB" w:rsidRDefault="00464261" w:rsidP="009315EC">
      <w:pPr>
        <w:rPr>
          <w:sz w:val="22"/>
          <w:szCs w:val="22"/>
        </w:rPr>
      </w:pPr>
      <w:r w:rsidRPr="00077688">
        <w:rPr>
          <w:b/>
          <w:bCs/>
          <w:i/>
          <w:iCs/>
        </w:rPr>
        <w:t xml:space="preserve">Please be </w:t>
      </w:r>
      <w:r w:rsidRPr="00077688">
        <w:rPr>
          <w:b/>
          <w:bCs/>
          <w:i/>
          <w:iCs/>
          <w:sz w:val="22"/>
          <w:szCs w:val="22"/>
        </w:rPr>
        <w:t xml:space="preserve">sure to visit </w:t>
      </w:r>
      <w:hyperlink r:id="rId7" w:history="1">
        <w:r w:rsidRPr="00077688">
          <w:rPr>
            <w:b/>
            <w:bCs/>
            <w:i/>
            <w:iCs/>
            <w:color w:val="0000FF" w:themeColor="hyperlink"/>
            <w:sz w:val="22"/>
            <w:szCs w:val="22"/>
            <w:u w:val="single"/>
          </w:rPr>
          <w:t>http://www.towson.edu/inclusionequity/employment/data.html</w:t>
        </w:r>
      </w:hyperlink>
      <w:r w:rsidRPr="00077688">
        <w:rPr>
          <w:b/>
          <w:bCs/>
          <w:i/>
          <w:iCs/>
          <w:sz w:val="22"/>
          <w:szCs w:val="22"/>
        </w:rPr>
        <w:t xml:space="preserve"> to complete a voluntary on-line applicant data form. The information you provide will inform the university’s affirmative action plan and is for statistical-related purposes only. The information will not be used for any other purpose. Please note that the search number for which you have applied is:</w:t>
      </w:r>
      <w:r>
        <w:rPr>
          <w:b/>
          <w:bCs/>
          <w:i/>
          <w:iCs/>
          <w:sz w:val="22"/>
          <w:szCs w:val="22"/>
        </w:rPr>
        <w:t xml:space="preserve"> </w:t>
      </w:r>
      <w:r w:rsidR="009315EC" w:rsidRPr="005B66DB">
        <w:rPr>
          <w:b/>
          <w:bCs/>
          <w:i/>
          <w:iCs/>
          <w:sz w:val="22"/>
          <w:szCs w:val="22"/>
        </w:rPr>
        <w:t>FCSM-N-</w:t>
      </w:r>
      <w:r>
        <w:rPr>
          <w:b/>
          <w:bCs/>
          <w:i/>
          <w:iCs/>
          <w:sz w:val="22"/>
          <w:szCs w:val="22"/>
        </w:rPr>
        <w:t>3266L</w:t>
      </w:r>
      <w:r w:rsidR="009315EC" w:rsidRPr="005B66DB">
        <w:rPr>
          <w:b/>
          <w:bCs/>
          <w:i/>
          <w:iCs/>
          <w:sz w:val="22"/>
          <w:szCs w:val="22"/>
        </w:rPr>
        <w:t>.</w:t>
      </w:r>
    </w:p>
    <w:p w14:paraId="0F4464F7" w14:textId="77777777" w:rsidR="009315EC" w:rsidRPr="005B66DB" w:rsidRDefault="009315EC" w:rsidP="009315EC">
      <w:pPr>
        <w:rPr>
          <w:sz w:val="22"/>
          <w:szCs w:val="22"/>
        </w:rPr>
      </w:pPr>
      <w:r w:rsidRPr="005B66DB">
        <w:rPr>
          <w:sz w:val="22"/>
          <w:szCs w:val="22"/>
        </w:rPr>
        <w:t> </w:t>
      </w:r>
    </w:p>
    <w:p w14:paraId="4DE20476" w14:textId="77777777" w:rsidR="002440E4" w:rsidRPr="005B66DB" w:rsidRDefault="009315EC">
      <w:pPr>
        <w:rPr>
          <w:sz w:val="22"/>
          <w:szCs w:val="22"/>
        </w:rPr>
      </w:pPr>
      <w:r w:rsidRPr="005B66DB">
        <w:rPr>
          <w:i/>
          <w:iCs/>
          <w:sz w:val="22"/>
          <w:szCs w:val="22"/>
        </w:rPr>
        <w:t>Towson University is an equal opportunity/affirmative action employer and has a strong institutional commitment to diversity. Women, minorities, persons with disabilities, and veterans are encouraged to apply.</w:t>
      </w:r>
    </w:p>
    <w:sectPr w:rsidR="002440E4" w:rsidRPr="005B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02D3D"/>
    <w:multiLevelType w:val="multilevel"/>
    <w:tmpl w:val="95D8F8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BD76B3"/>
    <w:multiLevelType w:val="multilevel"/>
    <w:tmpl w:val="1ADE3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77"/>
    <w:rsid w:val="002440E4"/>
    <w:rsid w:val="003D5D62"/>
    <w:rsid w:val="00464261"/>
    <w:rsid w:val="004A40B9"/>
    <w:rsid w:val="005951B0"/>
    <w:rsid w:val="005B66DB"/>
    <w:rsid w:val="0067009F"/>
    <w:rsid w:val="00750A09"/>
    <w:rsid w:val="00781A55"/>
    <w:rsid w:val="009315EC"/>
    <w:rsid w:val="00945E84"/>
    <w:rsid w:val="009E7A73"/>
    <w:rsid w:val="00A10670"/>
    <w:rsid w:val="00B74F7F"/>
    <w:rsid w:val="00CB4118"/>
    <w:rsid w:val="00D35B77"/>
    <w:rsid w:val="00EC62FE"/>
    <w:rsid w:val="00FB6A78"/>
    <w:rsid w:val="00FE45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D03F"/>
  <w15:chartTrackingRefBased/>
  <w15:docId w15:val="{93E96FC3-D4B2-4A37-9E7B-BDE8110C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5EC"/>
    <w:rPr>
      <w:color w:val="0000FF"/>
      <w:u w:val="single"/>
    </w:rPr>
  </w:style>
  <w:style w:type="paragraph" w:customStyle="1" w:styleId="xmsonormal">
    <w:name w:val="x_msonormal"/>
    <w:basedOn w:val="Normal"/>
    <w:uiPriority w:val="99"/>
    <w:rsid w:val="00945E84"/>
  </w:style>
  <w:style w:type="paragraph" w:customStyle="1" w:styleId="xmsolistparagraph">
    <w:name w:val="x_msolistparagraph"/>
    <w:basedOn w:val="Normal"/>
    <w:uiPriority w:val="99"/>
    <w:rsid w:val="00945E84"/>
  </w:style>
  <w:style w:type="character" w:styleId="CommentReference">
    <w:name w:val="annotation reference"/>
    <w:basedOn w:val="DefaultParagraphFont"/>
    <w:uiPriority w:val="99"/>
    <w:semiHidden/>
    <w:unhideWhenUsed/>
    <w:rsid w:val="00FE4598"/>
    <w:rPr>
      <w:sz w:val="16"/>
      <w:szCs w:val="16"/>
    </w:rPr>
  </w:style>
  <w:style w:type="paragraph" w:styleId="CommentText">
    <w:name w:val="annotation text"/>
    <w:basedOn w:val="Normal"/>
    <w:link w:val="CommentTextChar"/>
    <w:uiPriority w:val="99"/>
    <w:semiHidden/>
    <w:unhideWhenUsed/>
    <w:rsid w:val="00FE4598"/>
    <w:rPr>
      <w:sz w:val="20"/>
      <w:szCs w:val="20"/>
    </w:rPr>
  </w:style>
  <w:style w:type="character" w:customStyle="1" w:styleId="CommentTextChar">
    <w:name w:val="Comment Text Char"/>
    <w:basedOn w:val="DefaultParagraphFont"/>
    <w:link w:val="CommentText"/>
    <w:uiPriority w:val="99"/>
    <w:semiHidden/>
    <w:rsid w:val="00FE459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4598"/>
    <w:rPr>
      <w:b/>
      <w:bCs/>
    </w:rPr>
  </w:style>
  <w:style w:type="character" w:customStyle="1" w:styleId="CommentSubjectChar">
    <w:name w:val="Comment Subject Char"/>
    <w:basedOn w:val="CommentTextChar"/>
    <w:link w:val="CommentSubject"/>
    <w:uiPriority w:val="99"/>
    <w:semiHidden/>
    <w:rsid w:val="00FE459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E4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52194">
      <w:bodyDiv w:val="1"/>
      <w:marLeft w:val="0"/>
      <w:marRight w:val="0"/>
      <w:marTop w:val="0"/>
      <w:marBottom w:val="0"/>
      <w:divBdr>
        <w:top w:val="none" w:sz="0" w:space="0" w:color="auto"/>
        <w:left w:val="none" w:sz="0" w:space="0" w:color="auto"/>
        <w:bottom w:val="none" w:sz="0" w:space="0" w:color="auto"/>
        <w:right w:val="none" w:sz="0" w:space="0" w:color="auto"/>
      </w:divBdr>
    </w:div>
    <w:div w:id="14503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son.edu/inclusionequity/employment/da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jobs.org" TargetMode="External"/><Relationship Id="rId5" Type="http://schemas.openxmlformats.org/officeDocument/2006/relationships/hyperlink" Target="http://www.tows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2744</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Kolesnikov, Alexei S.</dc:creator>
  <cp:keywords/>
  <dc:description/>
  <cp:lastModifiedBy>Spitzer, Sandy M.</cp:lastModifiedBy>
  <cp:revision>2</cp:revision>
  <cp:lastPrinted>2019-04-12T16:34:00Z</cp:lastPrinted>
  <dcterms:created xsi:type="dcterms:W3CDTF">2019-04-26T17:08:00Z</dcterms:created>
  <dcterms:modified xsi:type="dcterms:W3CDTF">2019-04-26T17:08:00Z</dcterms:modified>
</cp:coreProperties>
</file>